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988A6" w14:textId="77777777" w:rsidR="005103B2" w:rsidRPr="005103B2" w:rsidRDefault="005103B2" w:rsidP="00765C6E">
      <w:pPr>
        <w:pStyle w:val="Titel"/>
        <w:spacing w:before="360" w:after="720"/>
        <w:ind w:left="-426"/>
        <w:rPr>
          <w:rFonts w:cs="Arial"/>
          <w:sz w:val="30"/>
          <w:szCs w:val="30"/>
          <w:lang w:val="fr-CH"/>
        </w:rPr>
      </w:pPr>
      <w:r w:rsidRPr="005103B2">
        <w:rPr>
          <w:rFonts w:cs="Arial"/>
          <w:sz w:val="30"/>
          <w:szCs w:val="30"/>
          <w:lang w:val="fr-CH"/>
        </w:rPr>
        <w:t xml:space="preserve">Information destinée au patient concernant la chimiothérapie / l’immunothérapie </w:t>
      </w:r>
    </w:p>
    <w:p w14:paraId="4E0BEDB2" w14:textId="77777777" w:rsidR="005103B2" w:rsidRPr="005103B2" w:rsidRDefault="005103B2" w:rsidP="005103B2">
      <w:pPr>
        <w:pStyle w:val="Titel"/>
        <w:spacing w:before="360" w:after="720" w:line="276" w:lineRule="auto"/>
        <w:jc w:val="both"/>
        <w:rPr>
          <w:rFonts w:cs="Arial"/>
          <w:b w:val="0"/>
          <w:sz w:val="20"/>
          <w:lang w:val="fr-CH"/>
        </w:rPr>
      </w:pPr>
      <w:r w:rsidRPr="005103B2">
        <w:rPr>
          <w:rFonts w:cs="Arial"/>
          <w:b w:val="0"/>
          <w:sz w:val="20"/>
          <w:lang w:val="fr-CH"/>
        </w:rPr>
        <w:t>Vous avez récemment été informé(e) que vous êtes atteint(e)d’une:</w:t>
      </w:r>
    </w:p>
    <w:p w14:paraId="3AAA91A4" w14:textId="77777777" w:rsidR="005103B2" w:rsidRPr="005103B2" w:rsidRDefault="005103B2" w:rsidP="005103B2">
      <w:pPr>
        <w:pStyle w:val="Titel"/>
        <w:spacing w:before="360" w:after="720" w:line="276" w:lineRule="auto"/>
        <w:ind w:left="709" w:hanging="709"/>
        <w:jc w:val="both"/>
        <w:rPr>
          <w:rFonts w:cs="Arial"/>
          <w:sz w:val="20"/>
          <w:lang w:val="fr-CH"/>
        </w:rPr>
      </w:pPr>
      <w:r w:rsidRPr="005103B2">
        <w:rPr>
          <w:rFonts w:cs="Arial"/>
          <w:sz w:val="20"/>
          <w:lang w:val="fr-CH"/>
        </w:rPr>
        <w:t>□</w:t>
      </w:r>
      <w:r w:rsidRPr="005103B2">
        <w:rPr>
          <w:rFonts w:cs="Arial"/>
          <w:sz w:val="20"/>
          <w:lang w:val="fr-CH"/>
        </w:rPr>
        <w:tab/>
        <w:t>Affection cancéreuse</w:t>
      </w:r>
    </w:p>
    <w:p w14:paraId="3CA22176" w14:textId="77777777" w:rsidR="005103B2" w:rsidRPr="005103B2" w:rsidRDefault="005103B2" w:rsidP="005103B2">
      <w:pPr>
        <w:pStyle w:val="Titel"/>
        <w:spacing w:before="360" w:after="720" w:line="276" w:lineRule="auto"/>
        <w:ind w:left="709" w:hanging="709"/>
        <w:jc w:val="both"/>
        <w:rPr>
          <w:rFonts w:cs="Arial"/>
          <w:b w:val="0"/>
          <w:sz w:val="20"/>
          <w:lang w:val="fr-CH"/>
        </w:rPr>
      </w:pPr>
      <w:r w:rsidRPr="005103B2">
        <w:rPr>
          <w:rFonts w:cs="Arial"/>
          <w:b w:val="0"/>
          <w:sz w:val="20"/>
          <w:lang w:val="fr-CH"/>
        </w:rPr>
        <w:t>□</w:t>
      </w:r>
      <w:r w:rsidRPr="005103B2">
        <w:rPr>
          <w:rFonts w:cs="Arial"/>
          <w:b w:val="0"/>
          <w:sz w:val="20"/>
          <w:lang w:val="fr-CH"/>
        </w:rPr>
        <w:tab/>
      </w:r>
      <w:r w:rsidRPr="005103B2">
        <w:rPr>
          <w:rFonts w:cs="Arial"/>
          <w:sz w:val="20"/>
          <w:lang w:val="fr-CH"/>
        </w:rPr>
        <w:t>Affection auto-immune</w:t>
      </w:r>
    </w:p>
    <w:p w14:paraId="32EA8063" w14:textId="77777777" w:rsidR="005103B2" w:rsidRPr="005103B2" w:rsidRDefault="005103B2" w:rsidP="005103B2">
      <w:pPr>
        <w:pStyle w:val="Titel"/>
        <w:spacing w:before="0" w:after="0" w:line="276" w:lineRule="auto"/>
        <w:jc w:val="both"/>
        <w:rPr>
          <w:rFonts w:cs="Arial"/>
          <w:b w:val="0"/>
          <w:sz w:val="20"/>
          <w:lang w:val="fr-CH"/>
        </w:rPr>
      </w:pPr>
      <w:r w:rsidRPr="005103B2">
        <w:rPr>
          <w:rFonts w:cs="Arial"/>
          <w:b w:val="0"/>
          <w:sz w:val="20"/>
          <w:lang w:val="fr-CH"/>
        </w:rPr>
        <w:t xml:space="preserve">Afin de d’obtenir le meilleur résultat possible, nous vous avons prescrit une </w:t>
      </w:r>
      <w:proofErr w:type="spellStart"/>
      <w:r w:rsidRPr="005103B2">
        <w:rPr>
          <w:rFonts w:cs="Arial"/>
          <w:b w:val="0"/>
          <w:sz w:val="20"/>
          <w:lang w:val="fr-CH"/>
        </w:rPr>
        <w:t>chimithérapie</w:t>
      </w:r>
      <w:proofErr w:type="spellEnd"/>
      <w:r w:rsidRPr="005103B2">
        <w:rPr>
          <w:rFonts w:cs="Arial"/>
          <w:b w:val="0"/>
          <w:sz w:val="20"/>
          <w:lang w:val="fr-CH"/>
        </w:rPr>
        <w:t xml:space="preserve"> / immunothérapie qui doit être administrée en plusieurs cycles consécutifs. Le protocole de traitement choisi pour </w:t>
      </w:r>
      <w:proofErr w:type="spellStart"/>
      <w:r w:rsidRPr="005103B2">
        <w:rPr>
          <w:rFonts w:cs="Arial"/>
          <w:b w:val="0"/>
          <w:sz w:val="20"/>
          <w:lang w:val="fr-CH"/>
        </w:rPr>
        <w:t>vousvous</w:t>
      </w:r>
      <w:proofErr w:type="spellEnd"/>
      <w:r w:rsidRPr="005103B2">
        <w:rPr>
          <w:rFonts w:cs="Arial"/>
          <w:b w:val="0"/>
          <w:sz w:val="20"/>
          <w:lang w:val="fr-CH"/>
        </w:rPr>
        <w:t xml:space="preserve"> est fourni en copie.</w:t>
      </w:r>
    </w:p>
    <w:p w14:paraId="694C2B9B" w14:textId="77777777" w:rsidR="005103B2" w:rsidRPr="005103B2" w:rsidRDefault="005103B2" w:rsidP="005103B2">
      <w:pPr>
        <w:pStyle w:val="Titel"/>
        <w:spacing w:before="0" w:after="0" w:line="276" w:lineRule="auto"/>
        <w:jc w:val="both"/>
        <w:rPr>
          <w:rFonts w:cs="Arial"/>
          <w:b w:val="0"/>
          <w:sz w:val="20"/>
          <w:lang w:val="fr-CH"/>
        </w:rPr>
      </w:pPr>
    </w:p>
    <w:p w14:paraId="2A31CAC0" w14:textId="77777777" w:rsidR="005103B2" w:rsidRPr="005103B2" w:rsidRDefault="005103B2" w:rsidP="005103B2">
      <w:pPr>
        <w:pStyle w:val="Titel"/>
        <w:spacing w:before="0" w:after="0" w:line="276" w:lineRule="auto"/>
        <w:jc w:val="both"/>
        <w:rPr>
          <w:rFonts w:cs="Arial"/>
          <w:b w:val="0"/>
          <w:sz w:val="20"/>
          <w:lang w:val="fr-CH"/>
        </w:rPr>
      </w:pPr>
    </w:p>
    <w:p w14:paraId="533C01BD" w14:textId="77777777" w:rsidR="005103B2" w:rsidRPr="005103B2" w:rsidRDefault="005103B2" w:rsidP="005103B2">
      <w:pPr>
        <w:pStyle w:val="Titel"/>
        <w:spacing w:before="0" w:after="0" w:line="276" w:lineRule="auto"/>
        <w:jc w:val="both"/>
        <w:rPr>
          <w:rFonts w:cs="Arial"/>
          <w:sz w:val="24"/>
          <w:szCs w:val="24"/>
          <w:lang w:val="fr-CH"/>
        </w:rPr>
      </w:pPr>
      <w:r w:rsidRPr="005103B2">
        <w:rPr>
          <w:rFonts w:cs="Arial"/>
          <w:sz w:val="24"/>
          <w:szCs w:val="24"/>
          <w:lang w:val="fr-CH"/>
        </w:rPr>
        <w:t>Principes et effets secondaires de la chimiothérapie / de l’immunothérapie</w:t>
      </w:r>
    </w:p>
    <w:p w14:paraId="401B8F45" w14:textId="77777777" w:rsidR="005103B2" w:rsidRPr="005103B2" w:rsidRDefault="005103B2" w:rsidP="005103B2">
      <w:pPr>
        <w:pStyle w:val="Titel"/>
        <w:spacing w:before="0" w:after="0" w:line="276" w:lineRule="auto"/>
        <w:jc w:val="both"/>
        <w:rPr>
          <w:rFonts w:cs="Arial"/>
          <w:sz w:val="24"/>
          <w:szCs w:val="24"/>
          <w:lang w:val="fr-CH"/>
        </w:rPr>
      </w:pPr>
    </w:p>
    <w:p w14:paraId="7C541B36" w14:textId="77777777" w:rsidR="005103B2" w:rsidRPr="005103B2" w:rsidRDefault="005103B2" w:rsidP="005103B2">
      <w:pPr>
        <w:pStyle w:val="Titel"/>
        <w:spacing w:before="0" w:after="0" w:line="276" w:lineRule="auto"/>
        <w:jc w:val="both"/>
        <w:rPr>
          <w:rFonts w:cs="Arial"/>
          <w:b w:val="0"/>
          <w:sz w:val="20"/>
          <w:lang w:val="fr-CH"/>
        </w:rPr>
      </w:pPr>
      <w:r w:rsidRPr="005103B2">
        <w:rPr>
          <w:rFonts w:cs="Arial"/>
          <w:b w:val="0"/>
          <w:sz w:val="20"/>
          <w:lang w:val="fr-CH"/>
        </w:rPr>
        <w:t>Après une chimiothérapie / immunothérapie, on observe une réduction provisoire de la production des cellules dans la moelle osseuse, ce qui entraine une chute du nombre des cellules dans le sang (globules rouges, globules blancs et plaquettes sanguines). Une chimiothérapie / immunothérapie conventionnelle est dosée de telle manière à ce que la moelle osseuse se rétablisse d’elle-même. Dans le cadre de la majorité des protocoles de traitement, les globules blancs (leucocytes) et les plaquettes sanguines (thrombocytes) chutent pendant environ 10 à 14 jours après la chimiothérapie / l’immunothérapie pour atteindre les valeurs les plus faibles pour ensuite, en l’espace de 1 ou 2 semaines, se rétablir totalement. Par conséquent, il est en règle générale possible d’administrer un nouveau cycle de thérapie toutes les 3 à 4 semaines.</w:t>
      </w:r>
    </w:p>
    <w:p w14:paraId="41A4DBF5" w14:textId="77777777" w:rsidR="005103B2" w:rsidRPr="005103B2" w:rsidRDefault="005103B2" w:rsidP="005103B2">
      <w:pPr>
        <w:pStyle w:val="Titel"/>
        <w:spacing w:before="0" w:after="0" w:line="276" w:lineRule="auto"/>
        <w:jc w:val="both"/>
        <w:rPr>
          <w:rFonts w:cs="Arial"/>
          <w:b w:val="0"/>
          <w:sz w:val="20"/>
          <w:lang w:val="fr-CH"/>
        </w:rPr>
      </w:pPr>
    </w:p>
    <w:p w14:paraId="6C970ADC" w14:textId="77777777" w:rsidR="005103B2" w:rsidRPr="005103B2" w:rsidRDefault="005103B2" w:rsidP="005103B2">
      <w:pPr>
        <w:pStyle w:val="Titel"/>
        <w:spacing w:before="0" w:after="0" w:line="276" w:lineRule="auto"/>
        <w:jc w:val="both"/>
        <w:rPr>
          <w:rFonts w:cs="Arial"/>
          <w:b w:val="0"/>
          <w:sz w:val="20"/>
          <w:lang w:val="fr-CH"/>
        </w:rPr>
      </w:pPr>
      <w:r w:rsidRPr="005103B2">
        <w:rPr>
          <w:rFonts w:cs="Arial"/>
          <w:b w:val="0"/>
          <w:sz w:val="20"/>
          <w:lang w:val="fr-CH"/>
        </w:rPr>
        <w:t xml:space="preserve">Afin de mettre en évidence rapidement les effets secondaires, des analyses de sang et d’autres examens sont pratiqués régulièrement. Il y a certains effets secondaires que vous ressentez par vous-même avant que nous en ayons connaissance au travers de nos examens. Par conséquent, vous devez nous faire part de tout ce que vous constatez d’inhabituel au niveau de votre corps ou de vos sensations. La majorité des effets secondaires décrits ci-dessous disparaissent après un certain temps, mais dans certains cas, on peut toutefois constater des dommages durables. </w:t>
      </w:r>
    </w:p>
    <w:p w14:paraId="79889759" w14:textId="77777777" w:rsidR="005103B2" w:rsidRPr="005103B2" w:rsidRDefault="005103B2" w:rsidP="005103B2">
      <w:pPr>
        <w:pStyle w:val="Titel"/>
        <w:spacing w:before="0" w:after="0" w:line="276" w:lineRule="auto"/>
        <w:jc w:val="both"/>
        <w:rPr>
          <w:rFonts w:cs="Arial"/>
          <w:b w:val="0"/>
          <w:sz w:val="20"/>
          <w:lang w:val="fr-CH"/>
        </w:rPr>
      </w:pPr>
    </w:p>
    <w:p w14:paraId="0823343C" w14:textId="77777777" w:rsidR="005103B2" w:rsidRPr="005103B2" w:rsidRDefault="005103B2" w:rsidP="005103B2">
      <w:pPr>
        <w:pStyle w:val="Titel"/>
        <w:spacing w:before="360" w:after="720"/>
        <w:jc w:val="both"/>
        <w:rPr>
          <w:rFonts w:cs="Arial"/>
          <w:sz w:val="20"/>
          <w:lang w:val="fr-CH"/>
        </w:rPr>
      </w:pPr>
      <w:r w:rsidRPr="005103B2">
        <w:rPr>
          <w:rFonts w:cs="Arial"/>
          <w:sz w:val="20"/>
          <w:lang w:val="fr-CH"/>
        </w:rPr>
        <w:t xml:space="preserve">Dans le cadre du traitement de votre  maladie, vous </w:t>
      </w:r>
      <w:proofErr w:type="spellStart"/>
      <w:r w:rsidRPr="005103B2">
        <w:rPr>
          <w:rFonts w:cs="Arial"/>
          <w:sz w:val="20"/>
          <w:lang w:val="fr-CH"/>
        </w:rPr>
        <w:t>recevrezles</w:t>
      </w:r>
      <w:proofErr w:type="spellEnd"/>
      <w:r w:rsidRPr="005103B2">
        <w:rPr>
          <w:rFonts w:cs="Arial"/>
          <w:sz w:val="20"/>
          <w:lang w:val="fr-CH"/>
        </w:rPr>
        <w:t xml:space="preserve"> médicaments suivants:</w:t>
      </w:r>
    </w:p>
    <w:p w14:paraId="4997A1DC" w14:textId="77777777" w:rsidR="005103B2" w:rsidRPr="005103B2" w:rsidRDefault="005103B2" w:rsidP="005103B2">
      <w:pPr>
        <w:pStyle w:val="Titel"/>
        <w:spacing w:before="360" w:after="720"/>
        <w:jc w:val="both"/>
        <w:rPr>
          <w:rFonts w:cs="Arial"/>
          <w:sz w:val="20"/>
          <w:lang w:val="fr-CH"/>
        </w:rPr>
      </w:pPr>
      <w:r w:rsidRPr="005103B2">
        <w:rPr>
          <w:rFonts w:cs="Arial"/>
          <w:sz w:val="20"/>
          <w:lang w:val="fr-CH"/>
        </w:rPr>
        <w:t>..................................................................................................................................................................................</w:t>
      </w:r>
    </w:p>
    <w:p w14:paraId="59295A60" w14:textId="77777777" w:rsidR="005103B2" w:rsidRPr="005103B2" w:rsidRDefault="005103B2" w:rsidP="005103B2">
      <w:pPr>
        <w:pStyle w:val="Titel"/>
        <w:spacing w:before="360" w:after="720"/>
        <w:jc w:val="both"/>
        <w:rPr>
          <w:rFonts w:cs="Arial"/>
          <w:sz w:val="20"/>
          <w:lang w:val="fr-CH"/>
        </w:rPr>
      </w:pPr>
      <w:r w:rsidRPr="005103B2">
        <w:rPr>
          <w:rFonts w:cs="Arial"/>
          <w:sz w:val="20"/>
          <w:lang w:val="fr-CH"/>
        </w:rPr>
        <w:t>..................................................................................................................................................................................</w:t>
      </w:r>
    </w:p>
    <w:p w14:paraId="227CEC78" w14:textId="77777777" w:rsidR="005103B2" w:rsidRPr="005103B2" w:rsidRDefault="005103B2" w:rsidP="005103B2">
      <w:pPr>
        <w:pStyle w:val="Titel"/>
        <w:spacing w:before="360" w:after="720" w:line="276" w:lineRule="auto"/>
        <w:jc w:val="both"/>
        <w:rPr>
          <w:rFonts w:cs="Arial"/>
          <w:b w:val="0"/>
          <w:sz w:val="20"/>
          <w:lang w:val="fr-CH"/>
        </w:rPr>
      </w:pPr>
      <w:r w:rsidRPr="005103B2">
        <w:rPr>
          <w:rFonts w:cs="Arial"/>
          <w:b w:val="0"/>
          <w:sz w:val="20"/>
          <w:lang w:val="fr-CH"/>
        </w:rPr>
        <w:lastRenderedPageBreak/>
        <w:t>Dans le cadre de ce traitement, on peut principalement s’attendre aux effets secondaires suivants :</w:t>
      </w:r>
    </w:p>
    <w:p w14:paraId="2D887809" w14:textId="77777777" w:rsidR="005103B2" w:rsidRPr="005103B2" w:rsidRDefault="005103B2" w:rsidP="005103B2">
      <w:pPr>
        <w:pStyle w:val="Titel"/>
        <w:spacing w:before="360" w:after="720" w:line="276" w:lineRule="auto"/>
        <w:ind w:left="708" w:hanging="708"/>
        <w:jc w:val="both"/>
        <w:rPr>
          <w:rFonts w:cs="Arial"/>
          <w:b w:val="0"/>
          <w:sz w:val="20"/>
          <w:lang w:val="fr-CH"/>
        </w:rPr>
      </w:pPr>
      <w:r w:rsidRPr="005103B2">
        <w:rPr>
          <w:rFonts w:cs="Arial"/>
          <w:sz w:val="20"/>
          <w:lang w:val="fr-CH"/>
        </w:rPr>
        <w:t>□</w:t>
      </w:r>
      <w:r w:rsidRPr="005103B2">
        <w:rPr>
          <w:rFonts w:cs="Arial"/>
          <w:sz w:val="20"/>
          <w:lang w:val="fr-CH"/>
        </w:rPr>
        <w:tab/>
        <w:t>Infections.</w:t>
      </w:r>
      <w:r w:rsidRPr="005103B2">
        <w:rPr>
          <w:rFonts w:cs="Arial"/>
          <w:b w:val="0"/>
          <w:sz w:val="20"/>
          <w:lang w:val="fr-CH"/>
        </w:rPr>
        <w:t xml:space="preserve"> Du fait de la chimiothérapie / de l’immunothérapie, il y a un affaiblissement des défenses propres de l’organisme. C’est la raison pour laquelle il existe un risque accru d’infection à certains stades du traitement. La faiblesse des défenses est particulièrement importante aussi longtemps que le nombre des granulocytes est réduit. Les granulocytes sont un type particulier de globules blancs qui jouent un </w:t>
      </w:r>
      <w:proofErr w:type="spellStart"/>
      <w:r w:rsidRPr="005103B2">
        <w:rPr>
          <w:rFonts w:cs="Arial"/>
          <w:b w:val="0"/>
          <w:sz w:val="20"/>
          <w:lang w:val="fr-CH"/>
        </w:rPr>
        <w:t>role</w:t>
      </w:r>
      <w:proofErr w:type="spellEnd"/>
      <w:r w:rsidRPr="005103B2">
        <w:rPr>
          <w:rFonts w:cs="Arial"/>
          <w:b w:val="0"/>
          <w:sz w:val="20"/>
          <w:lang w:val="fr-CH"/>
        </w:rPr>
        <w:t xml:space="preserve"> important dans la destruction des bactéries. Lorsque l’on peut s’attendre à un abaissement très important des leucocytes, nous vous demandons de prendre régulièrement différentes solutions et différents comprimés de médicaments afin de réduire le risque d’infection. Les patients qui négligent ces mesures courent un risque plus élevé de développer une infection.</w:t>
      </w:r>
    </w:p>
    <w:p w14:paraId="6771ACD6" w14:textId="77777777" w:rsidR="005103B2" w:rsidRPr="005103B2" w:rsidRDefault="005103B2" w:rsidP="005103B2">
      <w:pPr>
        <w:pStyle w:val="Titel"/>
        <w:spacing w:before="360" w:after="720"/>
        <w:ind w:left="708"/>
        <w:jc w:val="both"/>
        <w:rPr>
          <w:rFonts w:cs="Arial"/>
          <w:sz w:val="20"/>
          <w:lang w:val="fr-CH"/>
        </w:rPr>
      </w:pPr>
      <w:r w:rsidRPr="005103B2">
        <w:rPr>
          <w:rFonts w:cs="Arial"/>
          <w:b w:val="0"/>
          <w:sz w:val="20"/>
          <w:lang w:val="fr-CH"/>
        </w:rPr>
        <w:t>Malgré toutes les mesures de précaution, il peut arriver chez certains patients que de la fièvre apparaisse, ce qui rend nécessaire un traitement avec des médicaments contre les bactéries (antibiotiques), contre les champignons (antimycosiques) ou contre les virus (virostatiques).</w:t>
      </w:r>
    </w:p>
    <w:p w14:paraId="0F007718" w14:textId="77777777" w:rsidR="005103B2" w:rsidRPr="005103B2" w:rsidRDefault="005103B2" w:rsidP="005103B2">
      <w:pPr>
        <w:pStyle w:val="Titel"/>
        <w:spacing w:before="360" w:after="720"/>
        <w:ind w:left="708"/>
        <w:jc w:val="both"/>
        <w:rPr>
          <w:rFonts w:cs="Arial"/>
          <w:b w:val="0"/>
          <w:sz w:val="20"/>
          <w:lang w:val="fr-CH"/>
        </w:rPr>
      </w:pPr>
      <w:r w:rsidRPr="005103B2">
        <w:rPr>
          <w:rFonts w:cs="Arial"/>
          <w:b w:val="0"/>
          <w:sz w:val="20"/>
          <w:lang w:val="fr-CH"/>
        </w:rPr>
        <w:t>Les infections constituent les complications les plus dangereuses liées à chaque chimiothérapie / immunothérapie. Toutefois, dans de nombreux cas il n’est pas nécessaire que vous restiez à l’hôpital après une chimiothérapie jusqu’à la reconstitution des globules blancs. Il est cependant important de savoir qu’en cas d’apparition, aussi petite soit-elle, de symptômes d’une infection, en particulier en cas d’apparition de fièvre, vous devez sans délai consulter un médecin ou vous rendre en consultation dans notre clinique. A cause du risque d’infection qui y est associé, vous devez éviter les grands rassemblements de personnes. Les relations normales au sein de la famille ne représentent toutefois pas de risque important pour vous. Afin de connaître l’importance de la diminution des leucocytes, vous devez faire pratiquer en ambulatoire un bilan sanguin à intervalles réguliers, la plupart du temps une fois par semaine. Le médecin qui vous suit dans notre clinique vous en dira plus au sujet des intervalles entre les contrôles.</w:t>
      </w:r>
    </w:p>
    <w:p w14:paraId="1FE59608" w14:textId="77777777" w:rsidR="005103B2" w:rsidRPr="005103B2" w:rsidRDefault="005103B2" w:rsidP="005103B2">
      <w:pPr>
        <w:pStyle w:val="Titel"/>
        <w:spacing w:before="360" w:after="720"/>
        <w:ind w:left="708" w:hanging="708"/>
        <w:jc w:val="both"/>
        <w:rPr>
          <w:rFonts w:cs="Arial"/>
          <w:b w:val="0"/>
          <w:sz w:val="22"/>
          <w:szCs w:val="22"/>
          <w:lang w:val="fr-CH"/>
        </w:rPr>
      </w:pPr>
      <w:r w:rsidRPr="005103B2">
        <w:rPr>
          <w:rFonts w:cs="Arial"/>
          <w:sz w:val="20"/>
          <w:lang w:val="fr-CH"/>
        </w:rPr>
        <w:t>□</w:t>
      </w:r>
      <w:r w:rsidRPr="005103B2">
        <w:rPr>
          <w:rFonts w:cs="Arial"/>
          <w:sz w:val="20"/>
          <w:lang w:val="fr-CH"/>
        </w:rPr>
        <w:tab/>
        <w:t xml:space="preserve">Saignements. </w:t>
      </w:r>
      <w:r w:rsidRPr="005103B2">
        <w:rPr>
          <w:rFonts w:cs="Arial"/>
          <w:b w:val="0"/>
          <w:sz w:val="20"/>
          <w:lang w:val="fr-CH"/>
        </w:rPr>
        <w:t>Du fait de la chimiothérapie / de l’immunothérapie, il y a également souvent une réduction des plaquettes sanguines. Si celle-ci est très importante, il en résulte un risque accru de saignements qui va durer jusqu’à ce que la moelle osseuse se soit reconstituée et que les plaquettes augmentent à nouveau. Les plaquettes doivent être contrôlées aux mêmes intervalles que les leucocytes.</w:t>
      </w:r>
    </w:p>
    <w:p w14:paraId="45B9813B" w14:textId="77777777" w:rsidR="005103B2" w:rsidRPr="005103B2" w:rsidRDefault="005103B2" w:rsidP="005103B2">
      <w:pPr>
        <w:pStyle w:val="Titel"/>
        <w:spacing w:before="360" w:after="720"/>
        <w:ind w:left="708" w:hanging="708"/>
        <w:jc w:val="both"/>
        <w:rPr>
          <w:rFonts w:cs="Arial"/>
          <w:b w:val="0"/>
          <w:sz w:val="20"/>
          <w:lang w:val="fr-CH"/>
        </w:rPr>
      </w:pPr>
      <w:r w:rsidRPr="005103B2">
        <w:rPr>
          <w:rFonts w:cs="Arial"/>
          <w:sz w:val="20"/>
          <w:lang w:val="fr-CH"/>
        </w:rPr>
        <w:t>□</w:t>
      </w:r>
      <w:r w:rsidRPr="005103B2">
        <w:rPr>
          <w:rFonts w:cs="Arial"/>
          <w:sz w:val="20"/>
          <w:lang w:val="fr-CH"/>
        </w:rPr>
        <w:tab/>
        <w:t xml:space="preserve">Nausées et vomissements. </w:t>
      </w:r>
      <w:r w:rsidRPr="005103B2">
        <w:rPr>
          <w:rFonts w:cs="Arial"/>
          <w:b w:val="0"/>
          <w:sz w:val="20"/>
          <w:lang w:val="fr-CH"/>
        </w:rPr>
        <w:t>Du fait des médicaments actuellement disponibles, l’apparition de nausées importantes peut être fortement atténuée. Toutefois, des nausées légères, voire moyennes, sont possibles, tout comme des troubles de l’appétit. Dans ce cas, vous devez demander au médecin qui vous suit dans notre clinique de mettre en œuvre des mesures supplémentaires contre les nausées.</w:t>
      </w:r>
    </w:p>
    <w:p w14:paraId="789F837B" w14:textId="77777777" w:rsidR="005103B2" w:rsidRPr="005103B2" w:rsidRDefault="005103B2" w:rsidP="005103B2">
      <w:pPr>
        <w:pStyle w:val="Titel"/>
        <w:spacing w:before="360" w:after="720"/>
        <w:ind w:left="708" w:hanging="708"/>
        <w:jc w:val="both"/>
        <w:rPr>
          <w:rFonts w:cs="Arial"/>
          <w:b w:val="0"/>
          <w:sz w:val="20"/>
          <w:lang w:val="fr-CH"/>
        </w:rPr>
      </w:pPr>
      <w:r w:rsidRPr="005103B2">
        <w:rPr>
          <w:rFonts w:cs="Arial"/>
          <w:sz w:val="20"/>
          <w:lang w:val="fr-CH"/>
        </w:rPr>
        <w:t>□</w:t>
      </w:r>
      <w:r w:rsidRPr="005103B2">
        <w:rPr>
          <w:rFonts w:cs="Arial"/>
          <w:sz w:val="20"/>
          <w:lang w:val="fr-CH"/>
        </w:rPr>
        <w:tab/>
        <w:t xml:space="preserve">Lésions sur la peau et les muqueuses. </w:t>
      </w:r>
      <w:r w:rsidRPr="005103B2">
        <w:rPr>
          <w:rFonts w:cs="Arial"/>
          <w:b w:val="0"/>
          <w:sz w:val="20"/>
          <w:lang w:val="fr-CH"/>
        </w:rPr>
        <w:t>Dans certaines formes de chimiothérapie, on peut s’attendre à une perte complète de la pilosité, en particulier au niveau de la tête. Toutefois, chez presque tous les patients, les cheveux repoussent après un délai de quelques mois.</w:t>
      </w:r>
    </w:p>
    <w:p w14:paraId="1A83F7BA" w14:textId="77777777" w:rsidR="005103B2" w:rsidRPr="005103B2" w:rsidRDefault="005103B2" w:rsidP="005103B2">
      <w:pPr>
        <w:pStyle w:val="Titel"/>
        <w:spacing w:before="360" w:after="720"/>
        <w:ind w:left="708" w:hanging="708"/>
        <w:jc w:val="both"/>
        <w:rPr>
          <w:rFonts w:cs="Arial"/>
          <w:b w:val="0"/>
          <w:sz w:val="20"/>
          <w:lang w:val="fr-CH"/>
        </w:rPr>
      </w:pPr>
      <w:r w:rsidRPr="005103B2">
        <w:rPr>
          <w:rFonts w:cs="Arial"/>
          <w:b w:val="0"/>
          <w:sz w:val="20"/>
          <w:lang w:val="fr-CH"/>
        </w:rPr>
        <w:br w:type="page"/>
      </w:r>
    </w:p>
    <w:p w14:paraId="53C35FBA" w14:textId="77777777" w:rsidR="005103B2" w:rsidRPr="005103B2" w:rsidRDefault="005103B2" w:rsidP="005103B2">
      <w:pPr>
        <w:pStyle w:val="Titel"/>
        <w:spacing w:before="360" w:after="720"/>
        <w:ind w:left="708" w:hanging="708"/>
        <w:jc w:val="both"/>
        <w:rPr>
          <w:rFonts w:cs="Arial"/>
          <w:b w:val="0"/>
          <w:sz w:val="20"/>
          <w:lang w:val="fr-CH"/>
        </w:rPr>
      </w:pPr>
      <w:r w:rsidRPr="005103B2">
        <w:rPr>
          <w:rFonts w:cs="Arial"/>
          <w:sz w:val="20"/>
          <w:lang w:val="fr-CH"/>
        </w:rPr>
        <w:lastRenderedPageBreak/>
        <w:t>□</w:t>
      </w:r>
      <w:r w:rsidRPr="005103B2">
        <w:rPr>
          <w:rFonts w:cs="Arial"/>
          <w:sz w:val="20"/>
          <w:lang w:val="fr-CH"/>
        </w:rPr>
        <w:tab/>
        <w:t xml:space="preserve">Fertilité et fonction sexuelle. </w:t>
      </w:r>
      <w:r w:rsidRPr="005103B2">
        <w:rPr>
          <w:rFonts w:cs="Arial"/>
          <w:b w:val="0"/>
          <w:sz w:val="20"/>
          <w:lang w:val="fr-CH"/>
        </w:rPr>
        <w:t xml:space="preserve">Les gonades sont endommagées par le traitement. En guise de protection contre la malformation des enfants, il est fortement recommandé d’utiliser des moyens de contraception sûrs, de préférence la prise d’un contraceptif oral (« Pilule »). Les mesures de contraception doivent être poursuivies au minimum pendant six mois à l’issue de la chimiothérapie. </w:t>
      </w:r>
    </w:p>
    <w:p w14:paraId="093C5584" w14:textId="77777777" w:rsidR="005103B2" w:rsidRPr="005103B2" w:rsidRDefault="005103B2" w:rsidP="005103B2">
      <w:pPr>
        <w:pStyle w:val="Titel"/>
        <w:spacing w:before="360" w:after="720"/>
        <w:ind w:left="708"/>
        <w:jc w:val="both"/>
        <w:rPr>
          <w:rFonts w:cs="Arial"/>
          <w:b w:val="0"/>
          <w:sz w:val="20"/>
          <w:lang w:val="fr-CH"/>
        </w:rPr>
      </w:pPr>
      <w:r w:rsidRPr="005103B2">
        <w:rPr>
          <w:rFonts w:cs="Arial"/>
          <w:b w:val="0"/>
          <w:sz w:val="20"/>
          <w:lang w:val="fr-CH"/>
        </w:rPr>
        <w:t xml:space="preserve">Chez certains patients, les dommages causés aux ovaires et aux testicules sont tellement importants que l’on peut observer une inaptitude à la procréation et une infertilité résiduelles provisoires, mais parfois également durable. Pour les patients masculins, on peut prélever du sperme avant la thérapie et le conserver pour un usage ultérieur.  </w:t>
      </w:r>
    </w:p>
    <w:p w14:paraId="6AA94E7D" w14:textId="77777777" w:rsidR="005103B2" w:rsidRPr="005103B2" w:rsidRDefault="005103B2" w:rsidP="005103B2">
      <w:pPr>
        <w:pStyle w:val="Titel"/>
        <w:spacing w:before="360" w:after="720"/>
        <w:ind w:left="708"/>
        <w:jc w:val="both"/>
        <w:rPr>
          <w:rFonts w:cs="Arial"/>
          <w:b w:val="0"/>
          <w:sz w:val="20"/>
          <w:lang w:val="fr-CH"/>
        </w:rPr>
      </w:pPr>
      <w:r w:rsidRPr="005103B2">
        <w:rPr>
          <w:rFonts w:cs="Arial"/>
          <w:b w:val="0"/>
          <w:sz w:val="20"/>
          <w:lang w:val="fr-CH"/>
        </w:rPr>
        <w:t>Un autre aspect qui concerne en particulier le planning familial réside dans la possibilité différenciée de guérison à long terme des cancers en fonction des différentes maladies. Cet aspect doit être abordé lors d’un entretien personnel avec les médecins traitants.</w:t>
      </w:r>
    </w:p>
    <w:p w14:paraId="7C3511AF" w14:textId="77777777" w:rsidR="005103B2" w:rsidRPr="005103B2" w:rsidRDefault="005103B2" w:rsidP="005103B2">
      <w:pPr>
        <w:pStyle w:val="Titel"/>
        <w:spacing w:before="360" w:after="720"/>
        <w:ind w:left="708"/>
        <w:jc w:val="both"/>
        <w:rPr>
          <w:rFonts w:cs="Arial"/>
          <w:b w:val="0"/>
          <w:sz w:val="20"/>
          <w:lang w:val="fr-CH"/>
        </w:rPr>
      </w:pPr>
      <w:r w:rsidRPr="005103B2">
        <w:rPr>
          <w:rFonts w:cs="Arial"/>
          <w:b w:val="0"/>
          <w:sz w:val="20"/>
          <w:lang w:val="fr-CH"/>
        </w:rPr>
        <w:t>Chez les femmes également, il existe principalement la possibilité de prélever et de conserver des ovules. Toutefois, la procédure est beaucoup plus compliquée et nécessite une petite intervention chirurgicale pour le prélèvement des ovules et pour ce qui est de la capacité de fonctionnement des cellules prélevées, elle est fortement marquée par des incertitudes. Pour beaucoup de pathologies, le corps médical ne vous conseillera pas de procéder à un prélèvement des ovules à cause de la perte de temps engendrée. Toutefois si vous le souhaitez, nous pouvons organiser une entrevue avec nos gynécologues qui seront en mesure de vous en dire plus au sujet des diverses possibilités qui s’offrent à vous.</w:t>
      </w:r>
    </w:p>
    <w:p w14:paraId="1AF46595" w14:textId="77777777" w:rsidR="005103B2" w:rsidRPr="005103B2" w:rsidRDefault="005103B2" w:rsidP="005103B2">
      <w:pPr>
        <w:pStyle w:val="Titel"/>
        <w:spacing w:before="360" w:after="720"/>
        <w:ind w:left="708"/>
        <w:jc w:val="both"/>
        <w:rPr>
          <w:rFonts w:cs="Arial"/>
          <w:b w:val="0"/>
          <w:sz w:val="20"/>
          <w:lang w:val="fr-CH"/>
        </w:rPr>
      </w:pPr>
      <w:r w:rsidRPr="005103B2">
        <w:rPr>
          <w:rFonts w:cs="Arial"/>
          <w:b w:val="0"/>
          <w:sz w:val="20"/>
          <w:lang w:val="fr-CH"/>
        </w:rPr>
        <w:t>Au niveau des relations sexuelles, la fonction sexuelle ne subit pas de troubles. Au cours de la chimiothérapie et quelque temps après, on peut observer chez les femmes, des règles irrégulières. Il est également possible que la ménopause intervienne prématurément.</w:t>
      </w:r>
    </w:p>
    <w:p w14:paraId="2CE9B41C" w14:textId="77777777" w:rsidR="005103B2" w:rsidRPr="005103B2" w:rsidRDefault="005103B2" w:rsidP="005103B2">
      <w:pPr>
        <w:pStyle w:val="Titel"/>
        <w:spacing w:before="360" w:after="720"/>
        <w:ind w:left="708" w:hanging="708"/>
        <w:jc w:val="both"/>
        <w:rPr>
          <w:rFonts w:cs="Arial"/>
          <w:b w:val="0"/>
          <w:sz w:val="20"/>
          <w:lang w:val="fr-CH"/>
        </w:rPr>
      </w:pPr>
      <w:r w:rsidRPr="005103B2">
        <w:rPr>
          <w:rFonts w:cs="Arial"/>
          <w:sz w:val="20"/>
          <w:lang w:val="fr-CH"/>
        </w:rPr>
        <w:t>□</w:t>
      </w:r>
      <w:r w:rsidRPr="005103B2">
        <w:rPr>
          <w:rFonts w:cs="Arial"/>
          <w:sz w:val="20"/>
          <w:lang w:val="fr-CH"/>
        </w:rPr>
        <w:tab/>
        <w:t>Effets secondaires allergiques.</w:t>
      </w:r>
      <w:r w:rsidRPr="005103B2">
        <w:rPr>
          <w:rFonts w:cs="Arial"/>
          <w:b w:val="0"/>
          <w:sz w:val="20"/>
          <w:lang w:val="fr-CH"/>
        </w:rPr>
        <w:t xml:space="preserve"> Les réactions allergiques (intolérances) peuvent apparaître pour presque tous les médicaments (par ex. les antibiotiques), mais aussi lors des transfusions sanguines. Tandis que les éruptions cutanées relativement fréquentes sont la plupart du temps sans gravité majeure, dans des cas rares on peut constater également des troubles graves du système cardio-vasculaire et des poumons représentant un risque vital.</w:t>
      </w:r>
    </w:p>
    <w:p w14:paraId="1CAF6BBE" w14:textId="77777777" w:rsidR="005103B2" w:rsidRPr="005103B2" w:rsidRDefault="005103B2" w:rsidP="005103B2">
      <w:pPr>
        <w:pStyle w:val="Titel"/>
        <w:spacing w:before="360" w:after="720"/>
        <w:ind w:left="708" w:hanging="708"/>
        <w:jc w:val="both"/>
        <w:rPr>
          <w:rFonts w:cs="Arial"/>
          <w:b w:val="0"/>
          <w:sz w:val="20"/>
          <w:lang w:val="fr-CH"/>
        </w:rPr>
      </w:pPr>
      <w:r w:rsidRPr="005103B2">
        <w:rPr>
          <w:rFonts w:cs="Arial"/>
          <w:sz w:val="20"/>
          <w:lang w:val="fr-CH"/>
        </w:rPr>
        <w:t>□</w:t>
      </w:r>
      <w:r w:rsidRPr="005103B2">
        <w:rPr>
          <w:rFonts w:cs="Arial"/>
          <w:sz w:val="20"/>
          <w:lang w:val="fr-CH"/>
        </w:rPr>
        <w:tab/>
        <w:t xml:space="preserve">Autres effets secondaires. </w:t>
      </w:r>
      <w:r w:rsidRPr="005103B2">
        <w:rPr>
          <w:rFonts w:cs="Arial"/>
          <w:b w:val="0"/>
          <w:sz w:val="20"/>
          <w:lang w:val="fr-CH"/>
        </w:rPr>
        <w:t>Certains médicaments</w:t>
      </w:r>
      <w:r w:rsidRPr="005103B2">
        <w:rPr>
          <w:rFonts w:cs="Arial"/>
          <w:sz w:val="20"/>
          <w:lang w:val="fr-CH"/>
        </w:rPr>
        <w:t xml:space="preserve"> </w:t>
      </w:r>
      <w:r w:rsidRPr="005103B2">
        <w:rPr>
          <w:rFonts w:cs="Arial"/>
          <w:b w:val="0"/>
          <w:sz w:val="20"/>
          <w:lang w:val="fr-CH"/>
        </w:rPr>
        <w:t>peuvent entraîner des troubles de l’audition, en particulier pour les sons aigus. Avec certains médicaments, on constate fréquemment de légers troubles du système nerveux qui se manifestent entre autre par des picotements dans les mains et dans les pieds. Dans des cas rares, cela peut entraîner des paralysies intestinales et des lésions nerveuses importantes. Des atteintes de la fonction cardiaque, pulmonaire, rénale ou hépatique sont aussi possible. Au-delà des organes déjà cités précédemment, c’est finalement chaque organe qui peut être endommagé. C’est la raison pour laquelle dans le cadre d’une chimiothérapie, les médicaments sont sélectionnés en règle générale de manière à ce que dans leurs effets secondaires, ils n’agissent pas tous sur le même organe. Aux fins d’une meilleure évaluation du risque pour certains organes, des examens spéciaux sont pratiqués avant la thérapie.</w:t>
      </w:r>
    </w:p>
    <w:p w14:paraId="10C51C23" w14:textId="77777777" w:rsidR="005103B2" w:rsidRPr="005103B2" w:rsidRDefault="005103B2" w:rsidP="005103B2">
      <w:pPr>
        <w:overflowPunct/>
        <w:autoSpaceDE/>
        <w:autoSpaceDN/>
        <w:adjustRightInd/>
        <w:textAlignment w:val="auto"/>
        <w:rPr>
          <w:rFonts w:cs="Arial"/>
          <w:color w:val="auto"/>
          <w:kern w:val="28"/>
          <w:lang w:val="fr-CH"/>
        </w:rPr>
      </w:pPr>
      <w:r w:rsidRPr="005103B2">
        <w:rPr>
          <w:rFonts w:cs="Arial"/>
          <w:b/>
          <w:lang w:val="fr-CH"/>
        </w:rPr>
        <w:br w:type="page"/>
      </w:r>
    </w:p>
    <w:p w14:paraId="74D52275" w14:textId="77777777" w:rsidR="005103B2" w:rsidRPr="005103B2" w:rsidRDefault="005103B2" w:rsidP="005103B2">
      <w:pPr>
        <w:pStyle w:val="Titel"/>
        <w:spacing w:before="360" w:after="720"/>
        <w:ind w:left="708" w:hanging="708"/>
        <w:jc w:val="both"/>
        <w:rPr>
          <w:rFonts w:cs="Arial"/>
          <w:sz w:val="20"/>
          <w:lang w:val="fr-CH"/>
        </w:rPr>
      </w:pPr>
      <w:r w:rsidRPr="005103B2">
        <w:rPr>
          <w:rFonts w:cs="Arial"/>
          <w:sz w:val="20"/>
          <w:lang w:val="fr-CH"/>
        </w:rPr>
        <w:lastRenderedPageBreak/>
        <w:t>□</w:t>
      </w:r>
      <w:r w:rsidRPr="005103B2">
        <w:rPr>
          <w:rFonts w:cs="Arial"/>
          <w:sz w:val="20"/>
          <w:lang w:val="fr-CH"/>
        </w:rPr>
        <w:tab/>
        <w:t xml:space="preserve">Issue fatale de la chimiothérapie / de l’immunothérapie. </w:t>
      </w:r>
      <w:r w:rsidRPr="005103B2">
        <w:rPr>
          <w:rFonts w:cs="Arial"/>
          <w:b w:val="0"/>
          <w:sz w:val="20"/>
          <w:lang w:val="fr-CH"/>
        </w:rPr>
        <w:t>En fonction de la nature de la chimiothérapie, de votre état de santé général, et de votre maladie, il peut même y avoir des effets secondaires mortels. Toutefois dans l’ensemble, le risque de complications mortelles dans le cadre d’une chimiothérapie est considéré comme faible. Si compte tenu de certaines circonstances vous concernant il y a un risque plus élevé, nous vous le signalerons.</w:t>
      </w:r>
    </w:p>
    <w:p w14:paraId="2F97E81A" w14:textId="77777777" w:rsidR="005103B2" w:rsidRPr="005103B2" w:rsidRDefault="005103B2" w:rsidP="005103B2">
      <w:pPr>
        <w:pStyle w:val="Titel"/>
        <w:spacing w:before="360" w:after="720"/>
        <w:ind w:left="708" w:hanging="708"/>
        <w:jc w:val="both"/>
        <w:rPr>
          <w:rFonts w:cs="Arial"/>
          <w:b w:val="0"/>
          <w:sz w:val="20"/>
          <w:lang w:val="fr-CH"/>
        </w:rPr>
      </w:pPr>
      <w:r w:rsidRPr="005103B2">
        <w:rPr>
          <w:rFonts w:cs="Arial"/>
          <w:sz w:val="20"/>
          <w:lang w:val="fr-CH"/>
        </w:rPr>
        <w:t>□</w:t>
      </w:r>
      <w:r w:rsidRPr="005103B2">
        <w:rPr>
          <w:rFonts w:cs="Arial"/>
          <w:sz w:val="20"/>
          <w:lang w:val="fr-CH"/>
        </w:rPr>
        <w:tab/>
        <w:t xml:space="preserve">Dommages à long terme. </w:t>
      </w:r>
      <w:r w:rsidRPr="005103B2">
        <w:rPr>
          <w:rFonts w:cs="Arial"/>
          <w:b w:val="0"/>
          <w:sz w:val="20"/>
          <w:lang w:val="fr-CH"/>
        </w:rPr>
        <w:t>Après la thérapie, il subsiste le risque d’une infertilité permanente. En outre, et dans des cas rares, des affections malignes peuvent se développer après quelques années, en particulier des leucémies et des stades précédant une leucémie, ce que l’on appelle les myélodysplasies.</w:t>
      </w:r>
    </w:p>
    <w:p w14:paraId="71B00230" w14:textId="77777777" w:rsidR="005103B2" w:rsidRPr="005103B2" w:rsidRDefault="005103B2" w:rsidP="005103B2">
      <w:pPr>
        <w:pStyle w:val="Titel"/>
        <w:spacing w:before="360" w:after="720"/>
        <w:ind w:left="708"/>
        <w:jc w:val="both"/>
        <w:rPr>
          <w:rFonts w:cs="Arial"/>
          <w:b w:val="0"/>
          <w:sz w:val="20"/>
          <w:lang w:val="fr-CH"/>
        </w:rPr>
      </w:pPr>
      <w:r w:rsidRPr="005103B2">
        <w:rPr>
          <w:rFonts w:cs="Arial"/>
          <w:b w:val="0"/>
          <w:sz w:val="20"/>
          <w:lang w:val="fr-CH"/>
        </w:rPr>
        <w:t>Même après le succès de la chimiothérapie / de l’immunothérapie, la maladie actuelle peut récidiver. Le risque de récidive dépend parmi d’autres facteurs, de la nature de l’affection, du stade de la maladie et de la réponse au traitement.</w:t>
      </w:r>
    </w:p>
    <w:p w14:paraId="0850D5FD" w14:textId="77777777" w:rsidR="005103B2" w:rsidRPr="005103B2" w:rsidRDefault="005103B2" w:rsidP="005103B2">
      <w:pPr>
        <w:pStyle w:val="Titel"/>
        <w:spacing w:before="360" w:after="720"/>
        <w:jc w:val="both"/>
        <w:rPr>
          <w:rFonts w:cs="Arial"/>
          <w:sz w:val="20"/>
          <w:lang w:val="fr-CH"/>
        </w:rPr>
      </w:pPr>
      <w:r w:rsidRPr="005103B2">
        <w:rPr>
          <w:rFonts w:cs="Arial"/>
          <w:sz w:val="20"/>
          <w:lang w:val="fr-CH"/>
        </w:rPr>
        <w:t>□</w:t>
      </w:r>
      <w:r w:rsidRPr="005103B2">
        <w:rPr>
          <w:rFonts w:cs="Arial"/>
          <w:sz w:val="20"/>
          <w:lang w:val="fr-CH"/>
        </w:rPr>
        <w:tab/>
        <w:t>Transfusion de produits sanguins</w:t>
      </w:r>
    </w:p>
    <w:p w14:paraId="202E09C7" w14:textId="77777777" w:rsidR="005103B2" w:rsidRPr="005103B2" w:rsidRDefault="005103B2" w:rsidP="005103B2">
      <w:pPr>
        <w:pStyle w:val="Titel"/>
        <w:spacing w:before="360" w:after="720"/>
        <w:ind w:left="708"/>
        <w:jc w:val="both"/>
        <w:rPr>
          <w:rFonts w:cs="Arial"/>
          <w:b w:val="0"/>
          <w:sz w:val="20"/>
          <w:lang w:val="fr-CH"/>
        </w:rPr>
      </w:pPr>
      <w:r w:rsidRPr="005103B2">
        <w:rPr>
          <w:rFonts w:cs="Arial"/>
          <w:b w:val="0"/>
          <w:sz w:val="20"/>
          <w:lang w:val="fr-CH"/>
        </w:rPr>
        <w:t>Le traitement envisagé n’est pour ainsi dire pas possible sans transfusions sanguines (principalement les globules rouges et les plaquettes sanguines). Les transfusions sanguines ne sont pratiquées qu’à partir du moment où leurs avantages dépassent largement les risques qui y sont associés. Afin d’accroître votre sécurité, vous devez impérativement faire part à votre médecin des transfusions sanguines précédentes et des complications qui sont éventuellement apparues à cette occasion. Malgré les mesures de précaution actuellement possibles, il subsiste un risque réduit de transmission d’une hépatite ou d’une infection VIH, ainsi que pour l’apparition d’autres effets secondaires. Les réactions d’incompatibilité mettant la vie en péril avec des troubles du système cardio-vasculaire et une déficience rénale, sont très rares. Des réactions plus faibles avec de la fièvre et des frissons sont plus fréquentes. A l’heure actuelle, le risque d’une hépatite B ou C ou d’une transmission du VIH est extrêmement réduit en Suisse.</w:t>
      </w:r>
    </w:p>
    <w:p w14:paraId="2139D9FB" w14:textId="77777777" w:rsidR="005103B2" w:rsidRPr="005103B2" w:rsidRDefault="005103B2" w:rsidP="005103B2">
      <w:pPr>
        <w:pStyle w:val="Titel"/>
        <w:spacing w:before="360" w:after="720"/>
        <w:ind w:left="708"/>
        <w:jc w:val="both"/>
        <w:rPr>
          <w:rFonts w:cs="Arial"/>
          <w:sz w:val="20"/>
          <w:lang w:val="fr-CH"/>
        </w:rPr>
      </w:pPr>
      <w:r w:rsidRPr="005103B2">
        <w:rPr>
          <w:rFonts w:cs="Arial"/>
          <w:b w:val="0"/>
          <w:sz w:val="20"/>
          <w:lang w:val="fr-CH"/>
        </w:rPr>
        <w:t>Certains médicaments peuvent en plus conduire à des problèmes spécifiquement liés à ces médicaments. Si cela est le cas, cela vous sera indiqué lors de la consultation.</w:t>
      </w:r>
    </w:p>
    <w:p w14:paraId="436C3EFC" w14:textId="77777777" w:rsidR="005103B2" w:rsidRPr="005103B2" w:rsidRDefault="005103B2" w:rsidP="005103B2">
      <w:pPr>
        <w:pStyle w:val="Titel"/>
        <w:spacing w:before="360" w:after="0"/>
        <w:jc w:val="both"/>
        <w:rPr>
          <w:rFonts w:cs="Arial"/>
          <w:b w:val="0"/>
          <w:sz w:val="20"/>
          <w:lang w:val="fr-CH"/>
        </w:rPr>
      </w:pPr>
      <w:r w:rsidRPr="005103B2">
        <w:rPr>
          <w:rFonts w:cs="Arial"/>
          <w:b w:val="0"/>
          <w:sz w:val="20"/>
          <w:lang w:val="fr-CH"/>
        </w:rPr>
        <w:t>Si vous avez encore d’autres questions à poser, n’hésitez-pas à vous adresser à nous. Il est bien évident que vous pouvez également nous poser vos questions pendant le traitement et à tout moment.</w:t>
      </w:r>
    </w:p>
    <w:p w14:paraId="2AB92A5B" w14:textId="77777777" w:rsidR="005103B2" w:rsidRPr="005103B2" w:rsidRDefault="005103B2" w:rsidP="005103B2">
      <w:pPr>
        <w:pStyle w:val="Titel"/>
        <w:spacing w:before="0" w:after="0"/>
        <w:rPr>
          <w:rFonts w:cs="Arial"/>
          <w:b w:val="0"/>
          <w:sz w:val="20"/>
          <w:lang w:val="fr-CH"/>
        </w:rPr>
      </w:pPr>
    </w:p>
    <w:p w14:paraId="1C9AB29D" w14:textId="77777777" w:rsidR="005103B2" w:rsidRPr="005103B2" w:rsidRDefault="005103B2" w:rsidP="005103B2">
      <w:pPr>
        <w:pStyle w:val="Titel"/>
        <w:spacing w:before="0" w:after="0"/>
        <w:rPr>
          <w:rFonts w:cs="Arial"/>
          <w:b w:val="0"/>
          <w:sz w:val="20"/>
          <w:lang w:val="fr-CH"/>
        </w:rPr>
      </w:pPr>
    </w:p>
    <w:p w14:paraId="75C2E46F" w14:textId="682E46B7" w:rsidR="005103B2" w:rsidRPr="005103B2" w:rsidRDefault="005B75DB" w:rsidP="005103B2">
      <w:pPr>
        <w:pStyle w:val="Titel"/>
        <w:spacing w:before="0" w:after="0"/>
        <w:rPr>
          <w:rFonts w:cs="Arial"/>
          <w:b w:val="0"/>
          <w:sz w:val="20"/>
          <w:lang w:val="fr-CH"/>
        </w:rPr>
      </w:pPr>
      <w:r>
        <w:rPr>
          <w:rFonts w:cs="Arial"/>
          <w:b w:val="0"/>
          <w:sz w:val="20"/>
          <w:lang w:val="fr-CH"/>
        </w:rPr>
        <w:t>Grenchen/Bern</w:t>
      </w:r>
      <w:r w:rsidR="005103B2" w:rsidRPr="005103B2">
        <w:rPr>
          <w:rFonts w:cs="Arial"/>
          <w:b w:val="0"/>
          <w:sz w:val="20"/>
          <w:lang w:val="fr-CH"/>
        </w:rPr>
        <w:t>, le ..................………………………………</w:t>
      </w:r>
    </w:p>
    <w:p w14:paraId="50C26764" w14:textId="77777777" w:rsidR="005103B2" w:rsidRPr="005103B2" w:rsidRDefault="005103B2" w:rsidP="005103B2">
      <w:pPr>
        <w:pStyle w:val="Titel"/>
        <w:spacing w:before="0" w:after="0"/>
        <w:rPr>
          <w:rFonts w:cs="Arial"/>
          <w:b w:val="0"/>
          <w:sz w:val="20"/>
          <w:lang w:val="fr-CH"/>
        </w:rPr>
      </w:pPr>
    </w:p>
    <w:p w14:paraId="4D0544EA" w14:textId="77777777" w:rsidR="005103B2" w:rsidRPr="005103B2" w:rsidRDefault="005103B2" w:rsidP="005103B2">
      <w:pPr>
        <w:pStyle w:val="Titel"/>
        <w:spacing w:before="0" w:after="0"/>
        <w:rPr>
          <w:rFonts w:cs="Arial"/>
          <w:b w:val="0"/>
          <w:sz w:val="20"/>
          <w:lang w:val="fr-CH"/>
        </w:rPr>
      </w:pPr>
    </w:p>
    <w:p w14:paraId="5E3199D3" w14:textId="77777777" w:rsidR="005103B2" w:rsidRPr="005103B2" w:rsidRDefault="005103B2" w:rsidP="005103B2">
      <w:pPr>
        <w:pStyle w:val="Titel"/>
        <w:spacing w:before="0" w:after="0"/>
        <w:rPr>
          <w:rFonts w:cs="Arial"/>
          <w:b w:val="0"/>
          <w:sz w:val="20"/>
          <w:lang w:val="fr-CH"/>
        </w:rPr>
      </w:pPr>
    </w:p>
    <w:p w14:paraId="2FE7252C" w14:textId="77777777" w:rsidR="005103B2" w:rsidRPr="005103B2" w:rsidRDefault="005103B2" w:rsidP="005103B2">
      <w:pPr>
        <w:pStyle w:val="Titel"/>
        <w:spacing w:before="0" w:after="0"/>
        <w:rPr>
          <w:rFonts w:cs="Arial"/>
          <w:b w:val="0"/>
          <w:sz w:val="20"/>
          <w:lang w:val="fr-CH"/>
        </w:rPr>
      </w:pPr>
      <w:r w:rsidRPr="005103B2">
        <w:rPr>
          <w:rFonts w:cs="Arial"/>
          <w:b w:val="0"/>
          <w:sz w:val="20"/>
          <w:lang w:val="fr-CH"/>
        </w:rPr>
        <w:t>Le patient / La patiente: ......................................</w:t>
      </w:r>
    </w:p>
    <w:p w14:paraId="5189C394" w14:textId="77777777" w:rsidR="005103B2" w:rsidRPr="005103B2" w:rsidRDefault="005103B2" w:rsidP="005103B2">
      <w:pPr>
        <w:pStyle w:val="Titel"/>
        <w:spacing w:before="0" w:after="0"/>
        <w:rPr>
          <w:rFonts w:cs="Arial"/>
          <w:b w:val="0"/>
          <w:sz w:val="20"/>
          <w:lang w:val="fr-CH"/>
        </w:rPr>
      </w:pPr>
    </w:p>
    <w:p w14:paraId="2D20E041" w14:textId="77777777" w:rsidR="005103B2" w:rsidRPr="005103B2" w:rsidRDefault="005103B2" w:rsidP="005103B2">
      <w:pPr>
        <w:pStyle w:val="Titel"/>
        <w:spacing w:before="0" w:after="0"/>
        <w:rPr>
          <w:rFonts w:cs="Arial"/>
          <w:b w:val="0"/>
          <w:sz w:val="20"/>
          <w:lang w:val="fr-CH"/>
        </w:rPr>
      </w:pPr>
    </w:p>
    <w:p w14:paraId="6147EF22" w14:textId="77777777" w:rsidR="005103B2" w:rsidRPr="005103B2" w:rsidRDefault="005103B2" w:rsidP="005103B2">
      <w:pPr>
        <w:pStyle w:val="Titel"/>
        <w:spacing w:before="0" w:after="0"/>
        <w:rPr>
          <w:rFonts w:cs="Arial"/>
          <w:b w:val="0"/>
          <w:sz w:val="20"/>
          <w:lang w:val="fr-CH"/>
        </w:rPr>
      </w:pPr>
    </w:p>
    <w:p w14:paraId="1FADDD2C" w14:textId="77777777" w:rsidR="005103B2" w:rsidRPr="005103B2" w:rsidRDefault="005103B2" w:rsidP="005103B2">
      <w:pPr>
        <w:overflowPunct/>
        <w:autoSpaceDE/>
        <w:autoSpaceDN/>
        <w:adjustRightInd/>
        <w:textAlignment w:val="auto"/>
        <w:rPr>
          <w:rFonts w:cs="Arial"/>
          <w:lang w:val="fr-CH"/>
        </w:rPr>
      </w:pPr>
      <w:r w:rsidRPr="005103B2">
        <w:rPr>
          <w:rFonts w:cs="Arial"/>
          <w:lang w:val="fr-CH"/>
        </w:rPr>
        <w:t xml:space="preserve">Le médecin consultant: .......................................  (Nom en caractères d‘imprimerie) : </w:t>
      </w:r>
      <w:r>
        <w:rPr>
          <w:rFonts w:cs="Arial"/>
          <w:lang w:val="fr-CH"/>
        </w:rPr>
        <w:t>........................</w:t>
      </w:r>
      <w:r w:rsidRPr="005103B2">
        <w:rPr>
          <w:rFonts w:cs="Arial"/>
          <w:lang w:val="fr-CH"/>
        </w:rPr>
        <w:t>............</w:t>
      </w:r>
    </w:p>
    <w:p w14:paraId="6C0A9116" w14:textId="77777777" w:rsidR="005103B2" w:rsidRPr="005103B2" w:rsidRDefault="005103B2" w:rsidP="005103B2">
      <w:pPr>
        <w:overflowPunct/>
        <w:autoSpaceDE/>
        <w:autoSpaceDN/>
        <w:adjustRightInd/>
        <w:textAlignment w:val="auto"/>
        <w:rPr>
          <w:rFonts w:cs="Arial"/>
          <w:lang w:val="fr-CH"/>
        </w:rPr>
      </w:pPr>
      <w:r w:rsidRPr="005103B2">
        <w:rPr>
          <w:rFonts w:cs="Arial"/>
          <w:lang w:val="fr-CH"/>
        </w:rPr>
        <w:br w:type="page"/>
      </w:r>
    </w:p>
    <w:p w14:paraId="6C6CEA5B" w14:textId="77777777" w:rsidR="005103B2" w:rsidRPr="005103B2" w:rsidRDefault="005103B2" w:rsidP="005103B2">
      <w:pPr>
        <w:overflowPunct/>
        <w:autoSpaceDE/>
        <w:autoSpaceDN/>
        <w:adjustRightInd/>
        <w:jc w:val="both"/>
        <w:textAlignment w:val="auto"/>
        <w:rPr>
          <w:rFonts w:cs="Arial"/>
          <w:b/>
          <w:sz w:val="24"/>
          <w:szCs w:val="24"/>
          <w:lang w:val="fr-CH"/>
        </w:rPr>
      </w:pPr>
      <w:r w:rsidRPr="005103B2">
        <w:rPr>
          <w:rFonts w:cs="Arial"/>
          <w:b/>
          <w:sz w:val="24"/>
          <w:szCs w:val="24"/>
          <w:lang w:val="fr-CH"/>
        </w:rPr>
        <w:lastRenderedPageBreak/>
        <w:t>Accord pour une chimiothérapie / une immunothérapie</w:t>
      </w:r>
    </w:p>
    <w:p w14:paraId="29679E85" w14:textId="77777777" w:rsidR="005103B2" w:rsidRPr="005103B2" w:rsidRDefault="005103B2" w:rsidP="005103B2">
      <w:pPr>
        <w:pStyle w:val="Default"/>
        <w:jc w:val="both"/>
        <w:rPr>
          <w:sz w:val="20"/>
          <w:szCs w:val="20"/>
          <w:lang w:val="fr-CH"/>
        </w:rPr>
      </w:pPr>
    </w:p>
    <w:p w14:paraId="073918BB" w14:textId="77777777" w:rsidR="005103B2" w:rsidRPr="005103B2" w:rsidRDefault="005103B2" w:rsidP="005103B2">
      <w:pPr>
        <w:pStyle w:val="Default"/>
        <w:jc w:val="both"/>
        <w:rPr>
          <w:sz w:val="20"/>
          <w:szCs w:val="20"/>
          <w:lang w:val="fr-CH"/>
        </w:rPr>
      </w:pPr>
    </w:p>
    <w:p w14:paraId="34766B31" w14:textId="77777777" w:rsidR="005103B2" w:rsidRPr="005103B2" w:rsidRDefault="005103B2" w:rsidP="005103B2">
      <w:pPr>
        <w:pStyle w:val="Default"/>
        <w:jc w:val="both"/>
        <w:rPr>
          <w:sz w:val="20"/>
          <w:szCs w:val="20"/>
          <w:lang w:val="fr-CH"/>
        </w:rPr>
      </w:pPr>
      <w:r w:rsidRPr="005103B2">
        <w:rPr>
          <w:sz w:val="20"/>
          <w:szCs w:val="20"/>
          <w:lang w:val="fr-CH"/>
        </w:rPr>
        <w:t>Nom et prénom du patient / de la patiente:</w:t>
      </w:r>
      <w:r w:rsidRPr="005103B2">
        <w:rPr>
          <w:sz w:val="20"/>
          <w:szCs w:val="20"/>
          <w:lang w:val="fr-CH"/>
        </w:rPr>
        <w:tab/>
      </w:r>
      <w:r w:rsidRPr="005103B2">
        <w:rPr>
          <w:sz w:val="20"/>
          <w:szCs w:val="20"/>
          <w:lang w:val="fr-CH"/>
        </w:rPr>
        <w:tab/>
      </w:r>
      <w:r w:rsidRPr="005103B2">
        <w:rPr>
          <w:sz w:val="20"/>
          <w:szCs w:val="20"/>
          <w:lang w:val="fr-CH"/>
        </w:rPr>
        <w:tab/>
        <w:t>Date de naissance:</w:t>
      </w:r>
    </w:p>
    <w:p w14:paraId="3DFB058D" w14:textId="77777777" w:rsidR="005103B2" w:rsidRPr="005103B2" w:rsidRDefault="005103B2" w:rsidP="005103B2">
      <w:pPr>
        <w:tabs>
          <w:tab w:val="left" w:pos="5529"/>
        </w:tabs>
        <w:spacing w:line="360" w:lineRule="exact"/>
        <w:jc w:val="both"/>
        <w:rPr>
          <w:rFonts w:cs="Arial"/>
          <w:lang w:val="fr-CH"/>
        </w:rPr>
      </w:pPr>
    </w:p>
    <w:p w14:paraId="6210C863" w14:textId="77777777" w:rsidR="005103B2" w:rsidRPr="005103B2" w:rsidRDefault="005103B2" w:rsidP="005103B2">
      <w:pPr>
        <w:tabs>
          <w:tab w:val="left" w:pos="5670"/>
        </w:tabs>
        <w:spacing w:line="360" w:lineRule="exact"/>
        <w:jc w:val="both"/>
        <w:rPr>
          <w:rFonts w:cs="Arial"/>
          <w:lang w:val="fr-CH"/>
        </w:rPr>
      </w:pPr>
    </w:p>
    <w:p w14:paraId="38E479D2" w14:textId="77777777" w:rsidR="005103B2" w:rsidRPr="005103B2" w:rsidRDefault="005103B2" w:rsidP="005103B2">
      <w:pPr>
        <w:tabs>
          <w:tab w:val="left" w:pos="5656"/>
        </w:tabs>
        <w:spacing w:line="360" w:lineRule="exact"/>
        <w:jc w:val="both"/>
        <w:rPr>
          <w:rFonts w:cs="Arial"/>
          <w:b/>
          <w:lang w:val="fr-CH"/>
        </w:rPr>
      </w:pPr>
      <w:r w:rsidRPr="005103B2">
        <w:rPr>
          <w:rFonts w:cs="Arial"/>
          <w:lang w:val="fr-CH"/>
        </w:rPr>
        <w:t>_____________________________________</w:t>
      </w:r>
      <w:r w:rsidRPr="005103B2">
        <w:rPr>
          <w:rFonts w:cs="Arial"/>
          <w:lang w:val="fr-CH"/>
        </w:rPr>
        <w:tab/>
        <w:t>___________________________________</w:t>
      </w:r>
    </w:p>
    <w:p w14:paraId="302250CC" w14:textId="77777777" w:rsidR="005103B2" w:rsidRPr="005103B2" w:rsidRDefault="005103B2" w:rsidP="005103B2">
      <w:pPr>
        <w:pStyle w:val="Titel"/>
        <w:spacing w:before="360" w:after="720"/>
        <w:jc w:val="both"/>
        <w:rPr>
          <w:rFonts w:cs="Arial"/>
          <w:b w:val="0"/>
          <w:sz w:val="20"/>
          <w:lang w:val="fr-CH"/>
        </w:rPr>
      </w:pPr>
      <w:r w:rsidRPr="005103B2">
        <w:rPr>
          <w:rFonts w:cs="Arial"/>
          <w:b w:val="0"/>
          <w:sz w:val="20"/>
          <w:lang w:val="fr-CH"/>
        </w:rPr>
        <w:t>J’ai été informé(e) au sujet de la chimiothérapie / de l’immunothérapie prévue, de même que des conséquences et des risques liés à ce traitement et des perspectives de guérison de l’affection, également par rapport à d’autres approches thérapeutiques ou à un refus de ce traitement. J’ai tout à fait conscience que l’affection actuelle peut récidiver, même après un traitement s’étant montré efficace.</w:t>
      </w:r>
      <w:r w:rsidRPr="005103B2">
        <w:rPr>
          <w:rFonts w:cs="Arial"/>
          <w:b w:val="0"/>
          <w:sz w:val="20"/>
          <w:lang w:val="fr-CH"/>
        </w:rPr>
        <w:br/>
      </w:r>
    </w:p>
    <w:p w14:paraId="2F825DFA" w14:textId="77777777" w:rsidR="005103B2" w:rsidRPr="005103B2" w:rsidRDefault="005103B2" w:rsidP="005103B2">
      <w:pPr>
        <w:pStyle w:val="Titel"/>
        <w:spacing w:before="360" w:after="720"/>
        <w:jc w:val="both"/>
        <w:rPr>
          <w:rFonts w:cs="Arial"/>
          <w:b w:val="0"/>
          <w:sz w:val="20"/>
          <w:lang w:val="fr-CH"/>
        </w:rPr>
      </w:pPr>
      <w:r w:rsidRPr="005103B2">
        <w:rPr>
          <w:rFonts w:cs="Arial"/>
          <w:b w:val="0"/>
          <w:sz w:val="20"/>
          <w:lang w:val="fr-CH"/>
        </w:rPr>
        <w:t>J’ai été informé(e) des complications possibles pendant et après le traitement prévu. Les problèmes particuliers ont été discutés en détail, en particulier les effets secondaires auxquels on peut s’attendre et les complications possibles pouvant apparaître en lien avec le traitement.</w:t>
      </w:r>
    </w:p>
    <w:p w14:paraId="375C1EAE" w14:textId="77777777" w:rsidR="005103B2" w:rsidRPr="005103B2" w:rsidRDefault="005103B2" w:rsidP="005103B2">
      <w:pPr>
        <w:pStyle w:val="Titel"/>
        <w:spacing w:before="360" w:after="720"/>
        <w:ind w:left="708" w:hanging="708"/>
        <w:jc w:val="both"/>
        <w:rPr>
          <w:rFonts w:cs="Arial"/>
          <w:b w:val="0"/>
          <w:sz w:val="20"/>
          <w:lang w:val="fr-CH"/>
        </w:rPr>
      </w:pPr>
      <w:r w:rsidRPr="005103B2">
        <w:rPr>
          <w:rFonts w:cs="Arial"/>
          <w:sz w:val="20"/>
          <w:lang w:val="fr-CH"/>
        </w:rPr>
        <w:t>□</w:t>
      </w:r>
      <w:r w:rsidRPr="005103B2">
        <w:rPr>
          <w:rFonts w:eastAsia="MS Gothic" w:cs="Arial"/>
          <w:b w:val="0"/>
          <w:sz w:val="20"/>
          <w:lang w:val="fr-CH"/>
        </w:rPr>
        <w:tab/>
        <w:t xml:space="preserve">En toute connaissance de ces informations, </w:t>
      </w:r>
      <w:r w:rsidRPr="005103B2">
        <w:rPr>
          <w:rFonts w:cs="Arial"/>
          <w:sz w:val="20"/>
          <w:lang w:val="fr-CH"/>
        </w:rPr>
        <w:t xml:space="preserve">je donne mon accord </w:t>
      </w:r>
      <w:r w:rsidRPr="005103B2">
        <w:rPr>
          <w:rFonts w:cs="Arial"/>
          <w:b w:val="0"/>
          <w:sz w:val="20"/>
          <w:lang w:val="fr-CH"/>
        </w:rPr>
        <w:t>pour le traitement prévu, ainsi que pour les autres mesures pouvant résulter des circonstances et s’avérant nécessaires dans le cadre du traitement.</w:t>
      </w:r>
    </w:p>
    <w:p w14:paraId="6411D166" w14:textId="77777777" w:rsidR="005103B2" w:rsidRPr="005103B2" w:rsidRDefault="005103B2" w:rsidP="005103B2">
      <w:pPr>
        <w:pStyle w:val="Titel"/>
        <w:spacing w:before="360" w:after="720"/>
        <w:ind w:left="708" w:hanging="708"/>
        <w:jc w:val="both"/>
        <w:rPr>
          <w:rFonts w:cs="Arial"/>
          <w:b w:val="0"/>
          <w:sz w:val="20"/>
          <w:lang w:val="fr-CH"/>
        </w:rPr>
      </w:pPr>
      <w:r w:rsidRPr="005103B2">
        <w:rPr>
          <w:rFonts w:cs="Arial"/>
          <w:sz w:val="20"/>
          <w:lang w:val="fr-CH"/>
        </w:rPr>
        <w:t>□</w:t>
      </w:r>
      <w:r w:rsidRPr="005103B2">
        <w:rPr>
          <w:rFonts w:eastAsia="MS Gothic" w:cs="Arial"/>
          <w:b w:val="0"/>
          <w:sz w:val="20"/>
          <w:lang w:val="fr-CH"/>
        </w:rPr>
        <w:tab/>
      </w:r>
      <w:r w:rsidRPr="005103B2">
        <w:rPr>
          <w:rFonts w:cs="Arial"/>
          <w:sz w:val="20"/>
          <w:lang w:val="fr-CH"/>
        </w:rPr>
        <w:t>Je ne suis pas d‘accord</w:t>
      </w:r>
      <w:r w:rsidRPr="005103B2">
        <w:rPr>
          <w:rFonts w:cs="Arial"/>
          <w:b w:val="0"/>
          <w:sz w:val="20"/>
          <w:lang w:val="fr-CH"/>
        </w:rPr>
        <w:t xml:space="preserve"> et je refuse le traitement.</w:t>
      </w:r>
    </w:p>
    <w:p w14:paraId="1A9B2E3E" w14:textId="77777777" w:rsidR="005103B2" w:rsidRPr="005103B2" w:rsidRDefault="005103B2" w:rsidP="005103B2">
      <w:pPr>
        <w:pStyle w:val="Titel"/>
        <w:spacing w:before="360" w:after="720"/>
        <w:ind w:left="708" w:hanging="708"/>
        <w:jc w:val="both"/>
        <w:rPr>
          <w:rFonts w:cs="Arial"/>
          <w:b w:val="0"/>
          <w:sz w:val="20"/>
          <w:lang w:val="fr-CH"/>
        </w:rPr>
      </w:pPr>
    </w:p>
    <w:p w14:paraId="4E49C17C" w14:textId="77777777" w:rsidR="005103B2" w:rsidRPr="005103B2" w:rsidRDefault="005103B2" w:rsidP="005103B2">
      <w:pPr>
        <w:pStyle w:val="Titel"/>
        <w:spacing w:before="360" w:after="720"/>
        <w:ind w:left="708" w:hanging="708"/>
        <w:jc w:val="both"/>
        <w:rPr>
          <w:rFonts w:cs="Arial"/>
          <w:b w:val="0"/>
          <w:sz w:val="20"/>
          <w:lang w:val="fr-CH"/>
        </w:rPr>
      </w:pPr>
    </w:p>
    <w:p w14:paraId="7E909E64" w14:textId="77777777" w:rsidR="005103B2" w:rsidRPr="005103B2" w:rsidRDefault="005103B2" w:rsidP="005103B2">
      <w:pPr>
        <w:pStyle w:val="Titel"/>
        <w:spacing w:before="360" w:after="0"/>
        <w:ind w:left="708" w:hanging="708"/>
        <w:jc w:val="both"/>
        <w:rPr>
          <w:rFonts w:cs="Arial"/>
          <w:b w:val="0"/>
          <w:sz w:val="20"/>
          <w:lang w:val="fr-CH"/>
        </w:rPr>
      </w:pPr>
      <w:r w:rsidRPr="005103B2">
        <w:rPr>
          <w:rFonts w:cs="Arial"/>
          <w:b w:val="0"/>
          <w:sz w:val="20"/>
          <w:lang w:val="fr-CH"/>
        </w:rPr>
        <w:t>Lieu / Date</w:t>
      </w:r>
      <w:r w:rsidRPr="005103B2">
        <w:rPr>
          <w:rFonts w:cs="Arial"/>
          <w:b w:val="0"/>
          <w:sz w:val="20"/>
          <w:lang w:val="fr-CH"/>
        </w:rPr>
        <w:tab/>
      </w:r>
      <w:r w:rsidRPr="005103B2">
        <w:rPr>
          <w:rFonts w:cs="Arial"/>
          <w:b w:val="0"/>
          <w:sz w:val="20"/>
          <w:lang w:val="fr-CH"/>
        </w:rPr>
        <w:tab/>
      </w:r>
      <w:r w:rsidRPr="005103B2">
        <w:rPr>
          <w:rFonts w:cs="Arial"/>
          <w:b w:val="0"/>
          <w:sz w:val="20"/>
          <w:lang w:val="fr-CH"/>
        </w:rPr>
        <w:tab/>
        <w:t>Signature du patient / de la patiente</w:t>
      </w:r>
      <w:r w:rsidRPr="005103B2">
        <w:rPr>
          <w:rFonts w:cs="Arial"/>
          <w:b w:val="0"/>
          <w:sz w:val="20"/>
          <w:lang w:val="fr-CH"/>
        </w:rPr>
        <w:tab/>
        <w:t xml:space="preserve">Signature du médecin </w:t>
      </w:r>
    </w:p>
    <w:p w14:paraId="0D195532" w14:textId="77777777" w:rsidR="005103B2" w:rsidRPr="005103B2" w:rsidRDefault="005103B2" w:rsidP="005103B2">
      <w:pPr>
        <w:pStyle w:val="Titel"/>
        <w:spacing w:before="0" w:after="720"/>
        <w:ind w:left="708" w:hanging="708"/>
        <w:jc w:val="both"/>
        <w:rPr>
          <w:rFonts w:cs="Arial"/>
          <w:b w:val="0"/>
          <w:sz w:val="16"/>
          <w:szCs w:val="16"/>
          <w:lang w:val="fr-CH"/>
        </w:rPr>
      </w:pPr>
      <w:r w:rsidRPr="005103B2">
        <w:rPr>
          <w:rFonts w:cs="Arial"/>
          <w:b w:val="0"/>
          <w:sz w:val="20"/>
          <w:lang w:val="fr-CH"/>
        </w:rPr>
        <w:t xml:space="preserve">                                                                                           </w:t>
      </w:r>
      <w:r w:rsidRPr="005103B2">
        <w:rPr>
          <w:rFonts w:cs="Arial"/>
          <w:b w:val="0"/>
          <w:sz w:val="20"/>
          <w:lang w:val="fr-CH"/>
        </w:rPr>
        <w:tab/>
      </w:r>
      <w:r w:rsidRPr="005103B2">
        <w:rPr>
          <w:rFonts w:cs="Arial"/>
          <w:b w:val="0"/>
          <w:sz w:val="20"/>
          <w:lang w:val="fr-CH"/>
        </w:rPr>
        <w:tab/>
      </w:r>
      <w:r w:rsidRPr="005103B2">
        <w:rPr>
          <w:rFonts w:cs="Arial"/>
          <w:b w:val="0"/>
          <w:sz w:val="16"/>
          <w:szCs w:val="16"/>
          <w:lang w:val="fr-CH"/>
        </w:rPr>
        <w:t>(Nom en caractères d‘imprimerie)</w:t>
      </w:r>
    </w:p>
    <w:p w14:paraId="1FE6242D" w14:textId="77777777" w:rsidR="005103B2" w:rsidRPr="005103B2" w:rsidRDefault="005103B2" w:rsidP="005103B2">
      <w:pPr>
        <w:pStyle w:val="Titel"/>
        <w:spacing w:before="360" w:after="720"/>
        <w:jc w:val="both"/>
        <w:rPr>
          <w:rFonts w:cs="Arial"/>
          <w:lang w:val="de-CH"/>
        </w:rPr>
      </w:pPr>
      <w:r w:rsidRPr="005103B2">
        <w:rPr>
          <w:rFonts w:cs="Arial"/>
          <w:b w:val="0"/>
          <w:sz w:val="20"/>
          <w:lang w:val="fr-CH"/>
        </w:rPr>
        <w:t>____________________</w:t>
      </w:r>
      <w:r w:rsidRPr="005103B2">
        <w:rPr>
          <w:rFonts w:cs="Arial"/>
          <w:b w:val="0"/>
          <w:sz w:val="20"/>
          <w:lang w:val="fr-CH"/>
        </w:rPr>
        <w:tab/>
        <w:t>___________________________</w:t>
      </w:r>
      <w:r w:rsidRPr="005103B2">
        <w:rPr>
          <w:rFonts w:cs="Arial"/>
          <w:b w:val="0"/>
          <w:sz w:val="20"/>
          <w:lang w:val="fr-CH"/>
        </w:rPr>
        <w:tab/>
        <w:t>_______________________</w:t>
      </w:r>
      <w:r w:rsidRPr="005103B2">
        <w:rPr>
          <w:rFonts w:cs="Arial"/>
          <w:b w:val="0"/>
          <w:sz w:val="20"/>
          <w:lang w:val="de-CH"/>
        </w:rPr>
        <w:t>_____</w:t>
      </w:r>
    </w:p>
    <w:p w14:paraId="5B0690FD" w14:textId="77777777" w:rsidR="005F0684" w:rsidRPr="005103B2" w:rsidRDefault="005F0684" w:rsidP="005103B2">
      <w:pPr>
        <w:rPr>
          <w:rFonts w:cs="Arial"/>
        </w:rPr>
      </w:pPr>
    </w:p>
    <w:sectPr w:rsidR="005F0684" w:rsidRPr="005103B2" w:rsidSect="00765C6E">
      <w:headerReference w:type="even" r:id="rId8"/>
      <w:headerReference w:type="default" r:id="rId9"/>
      <w:footerReference w:type="even" r:id="rId10"/>
      <w:footerReference w:type="default" r:id="rId11"/>
      <w:headerReference w:type="first" r:id="rId12"/>
      <w:footerReference w:type="first" r:id="rId13"/>
      <w:pgSz w:w="11907" w:h="16840" w:code="9"/>
      <w:pgMar w:top="454" w:right="652" w:bottom="1134" w:left="1134"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06254" w14:textId="77777777" w:rsidR="004A2E08" w:rsidRDefault="004A2E08">
      <w:r>
        <w:separator/>
      </w:r>
    </w:p>
    <w:p w14:paraId="68C90795" w14:textId="77777777" w:rsidR="004A2E08" w:rsidRDefault="004A2E08"/>
  </w:endnote>
  <w:endnote w:type="continuationSeparator" w:id="0">
    <w:p w14:paraId="1AC25B96" w14:textId="77777777" w:rsidR="004A2E08" w:rsidRDefault="004A2E08">
      <w:r>
        <w:continuationSeparator/>
      </w:r>
    </w:p>
    <w:p w14:paraId="2D403927" w14:textId="77777777" w:rsidR="004A2E08" w:rsidRDefault="004A2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E224" w14:textId="77777777" w:rsidR="00CB20AD" w:rsidRDefault="00CB20AD">
    <w:pPr>
      <w:pStyle w:val="Fuzeile"/>
    </w:pPr>
  </w:p>
  <w:p w14:paraId="57294E6D" w14:textId="77777777" w:rsidR="00CB20AD" w:rsidRDefault="00CB20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87" w:type="dxa"/>
      <w:tblInd w:w="-284" w:type="dxa"/>
      <w:tblLayout w:type="fixed"/>
      <w:tblCellMar>
        <w:left w:w="70" w:type="dxa"/>
        <w:right w:w="70" w:type="dxa"/>
      </w:tblCellMar>
      <w:tblLook w:val="04A0" w:firstRow="1" w:lastRow="0" w:firstColumn="1" w:lastColumn="0" w:noHBand="0" w:noVBand="1"/>
    </w:tblPr>
    <w:tblGrid>
      <w:gridCol w:w="2552"/>
      <w:gridCol w:w="1417"/>
      <w:gridCol w:w="1134"/>
      <w:gridCol w:w="1476"/>
      <w:gridCol w:w="934"/>
      <w:gridCol w:w="1701"/>
      <w:gridCol w:w="473"/>
    </w:tblGrid>
    <w:tr w:rsidR="00D8574F" w:rsidRPr="008A3F9B" w14:paraId="7188BEA0" w14:textId="77777777" w:rsidTr="00765C6E">
      <w:trPr>
        <w:trHeight w:val="142"/>
      </w:trPr>
      <w:tc>
        <w:tcPr>
          <w:tcW w:w="2552" w:type="dxa"/>
          <w:hideMark/>
        </w:tcPr>
        <w:p w14:paraId="6BC3F3B1" w14:textId="77777777" w:rsidR="00D8574F" w:rsidRPr="008A3F9B" w:rsidRDefault="00D8574F" w:rsidP="00D8574F">
          <w:pPr>
            <w:pStyle w:val="Fuzeile"/>
            <w:tabs>
              <w:tab w:val="right" w:pos="8505"/>
            </w:tabs>
            <w:rPr>
              <w:rFonts w:cs="Arial"/>
              <w:sz w:val="14"/>
              <w:szCs w:val="14"/>
            </w:rPr>
          </w:pPr>
          <w:r w:rsidRPr="008A3F9B">
            <w:rPr>
              <w:rFonts w:cs="Arial"/>
              <w:sz w:val="14"/>
              <w:szCs w:val="14"/>
            </w:rPr>
            <w:t>Datei</w:t>
          </w:r>
        </w:p>
      </w:tc>
      <w:tc>
        <w:tcPr>
          <w:tcW w:w="1417" w:type="dxa"/>
          <w:hideMark/>
        </w:tcPr>
        <w:p w14:paraId="5768B3CD" w14:textId="77777777" w:rsidR="00D8574F" w:rsidRPr="008A3F9B" w:rsidRDefault="00D8574F" w:rsidP="00D8574F">
          <w:pPr>
            <w:pStyle w:val="Fuzeile"/>
            <w:tabs>
              <w:tab w:val="right" w:pos="8505"/>
            </w:tabs>
            <w:rPr>
              <w:rFonts w:cs="Arial"/>
              <w:sz w:val="14"/>
              <w:szCs w:val="14"/>
            </w:rPr>
          </w:pPr>
          <w:r w:rsidRPr="008A3F9B">
            <w:rPr>
              <w:rFonts w:cs="Arial"/>
              <w:sz w:val="14"/>
              <w:szCs w:val="14"/>
            </w:rPr>
            <w:t>Name</w:t>
          </w:r>
        </w:p>
      </w:tc>
      <w:tc>
        <w:tcPr>
          <w:tcW w:w="1134" w:type="dxa"/>
          <w:hideMark/>
        </w:tcPr>
        <w:p w14:paraId="66C6ABE4" w14:textId="77777777" w:rsidR="00D8574F" w:rsidRPr="008A3F9B" w:rsidRDefault="00D8574F" w:rsidP="00D8574F">
          <w:pPr>
            <w:pStyle w:val="Fuzeile"/>
            <w:tabs>
              <w:tab w:val="right" w:pos="8505"/>
            </w:tabs>
            <w:rPr>
              <w:rFonts w:cs="Arial"/>
              <w:sz w:val="14"/>
              <w:szCs w:val="14"/>
            </w:rPr>
          </w:pPr>
          <w:r w:rsidRPr="008A3F9B">
            <w:rPr>
              <w:rFonts w:cs="Arial"/>
              <w:sz w:val="14"/>
              <w:szCs w:val="14"/>
            </w:rPr>
            <w:t>Ausgabe vom</w:t>
          </w:r>
        </w:p>
      </w:tc>
      <w:tc>
        <w:tcPr>
          <w:tcW w:w="1476" w:type="dxa"/>
          <w:hideMark/>
        </w:tcPr>
        <w:p w14:paraId="6EBD43A9" w14:textId="77777777" w:rsidR="00D8574F" w:rsidRPr="008A3F9B" w:rsidRDefault="00D8574F" w:rsidP="00D8574F">
          <w:pPr>
            <w:pStyle w:val="Fuzeile"/>
            <w:tabs>
              <w:tab w:val="right" w:pos="8505"/>
            </w:tabs>
            <w:rPr>
              <w:rFonts w:cs="Arial"/>
              <w:sz w:val="14"/>
              <w:szCs w:val="14"/>
            </w:rPr>
          </w:pPr>
          <w:r w:rsidRPr="008A3F9B">
            <w:rPr>
              <w:rFonts w:cs="Arial"/>
              <w:sz w:val="14"/>
              <w:szCs w:val="14"/>
            </w:rPr>
            <w:t>Ersetzt Ausgabe vom</w:t>
          </w:r>
        </w:p>
      </w:tc>
      <w:tc>
        <w:tcPr>
          <w:tcW w:w="934" w:type="dxa"/>
        </w:tcPr>
        <w:p w14:paraId="6DD99191" w14:textId="77777777" w:rsidR="00D8574F" w:rsidRPr="008A3F9B" w:rsidRDefault="00D8574F" w:rsidP="00D8574F">
          <w:pPr>
            <w:pStyle w:val="Fuzeile"/>
            <w:tabs>
              <w:tab w:val="right" w:pos="8505"/>
            </w:tabs>
            <w:rPr>
              <w:rFonts w:cs="Arial"/>
              <w:sz w:val="14"/>
              <w:szCs w:val="14"/>
            </w:rPr>
          </w:pPr>
          <w:r>
            <w:rPr>
              <w:rFonts w:cs="Arial"/>
              <w:sz w:val="14"/>
              <w:szCs w:val="14"/>
            </w:rPr>
            <w:t>Gültig ab</w:t>
          </w:r>
        </w:p>
      </w:tc>
      <w:tc>
        <w:tcPr>
          <w:tcW w:w="1701" w:type="dxa"/>
          <w:hideMark/>
        </w:tcPr>
        <w:p w14:paraId="4EB26C86" w14:textId="77777777" w:rsidR="00D8574F" w:rsidRPr="008A3F9B" w:rsidRDefault="00D8574F" w:rsidP="00D8574F">
          <w:pPr>
            <w:pStyle w:val="Fuzeile"/>
            <w:tabs>
              <w:tab w:val="right" w:pos="8505"/>
            </w:tabs>
            <w:rPr>
              <w:rFonts w:cs="Arial"/>
              <w:sz w:val="14"/>
              <w:szCs w:val="14"/>
            </w:rPr>
          </w:pPr>
          <w:r w:rsidRPr="008A3F9B">
            <w:rPr>
              <w:rFonts w:cs="Arial"/>
              <w:sz w:val="14"/>
              <w:szCs w:val="14"/>
            </w:rPr>
            <w:t>Freigabe</w:t>
          </w:r>
        </w:p>
      </w:tc>
      <w:tc>
        <w:tcPr>
          <w:tcW w:w="473" w:type="dxa"/>
          <w:hideMark/>
        </w:tcPr>
        <w:p w14:paraId="2DFA2C78" w14:textId="77777777" w:rsidR="00D8574F" w:rsidRPr="008A3F9B" w:rsidRDefault="00D8574F" w:rsidP="00D8574F">
          <w:pPr>
            <w:pStyle w:val="Fuzeile"/>
            <w:tabs>
              <w:tab w:val="right" w:pos="8505"/>
            </w:tabs>
            <w:jc w:val="right"/>
            <w:rPr>
              <w:rFonts w:cs="Arial"/>
              <w:sz w:val="14"/>
              <w:szCs w:val="14"/>
            </w:rPr>
          </w:pPr>
          <w:r w:rsidRPr="008A3F9B">
            <w:rPr>
              <w:rFonts w:cs="Arial"/>
              <w:sz w:val="14"/>
              <w:szCs w:val="14"/>
            </w:rPr>
            <w:t>Seite</w:t>
          </w:r>
        </w:p>
      </w:tc>
    </w:tr>
    <w:tr w:rsidR="005103B2" w:rsidRPr="008A3F9B" w14:paraId="1E62AB21" w14:textId="77777777" w:rsidTr="00765C6E">
      <w:trPr>
        <w:trHeight w:val="118"/>
      </w:trPr>
      <w:tc>
        <w:tcPr>
          <w:tcW w:w="2552" w:type="dxa"/>
          <w:hideMark/>
        </w:tcPr>
        <w:p w14:paraId="2605E175" w14:textId="5B313A0F" w:rsidR="005103B2" w:rsidRPr="005103B2" w:rsidRDefault="005103B2" w:rsidP="005103B2">
          <w:pPr>
            <w:tabs>
              <w:tab w:val="left" w:pos="2892"/>
            </w:tabs>
            <w:spacing w:after="40"/>
            <w:rPr>
              <w:sz w:val="14"/>
              <w:szCs w:val="14"/>
              <w:lang w:val="de-CH"/>
            </w:rPr>
          </w:pPr>
          <w:r w:rsidRPr="00134088">
            <w:rPr>
              <w:sz w:val="14"/>
              <w:szCs w:val="14"/>
              <w:lang w:val="de-CH"/>
            </w:rPr>
            <w:t>Patienteninfo</w:t>
          </w:r>
          <w:r>
            <w:rPr>
              <w:sz w:val="14"/>
              <w:szCs w:val="14"/>
              <w:lang w:val="de-CH"/>
            </w:rPr>
            <w:t xml:space="preserve"> Chemotherapie/</w:t>
          </w:r>
          <w:proofErr w:type="spellStart"/>
          <w:r>
            <w:rPr>
              <w:sz w:val="14"/>
              <w:szCs w:val="14"/>
              <w:lang w:val="de-CH"/>
            </w:rPr>
            <w:t>Immuntherapie_fr</w:t>
          </w:r>
          <w:proofErr w:type="spellEnd"/>
        </w:p>
      </w:tc>
      <w:tc>
        <w:tcPr>
          <w:tcW w:w="1417" w:type="dxa"/>
          <w:hideMark/>
        </w:tcPr>
        <w:p w14:paraId="4AA71D8B" w14:textId="34CF1D12" w:rsidR="005103B2" w:rsidRPr="00D8574F" w:rsidRDefault="00765C6E" w:rsidP="005103B2">
          <w:pPr>
            <w:pStyle w:val="Fuzeile"/>
            <w:tabs>
              <w:tab w:val="right" w:pos="8505"/>
            </w:tabs>
            <w:rPr>
              <w:rFonts w:cs="Arial"/>
              <w:sz w:val="14"/>
              <w:szCs w:val="14"/>
            </w:rPr>
          </w:pPr>
          <w:r>
            <w:rPr>
              <w:rFonts w:cs="Arial"/>
              <w:sz w:val="14"/>
              <w:szCs w:val="14"/>
            </w:rPr>
            <w:t>N. Bonadies</w:t>
          </w:r>
        </w:p>
      </w:tc>
      <w:tc>
        <w:tcPr>
          <w:tcW w:w="1134" w:type="dxa"/>
          <w:hideMark/>
        </w:tcPr>
        <w:p w14:paraId="082547C0" w14:textId="482E2883" w:rsidR="005103B2" w:rsidRPr="008A3F9B" w:rsidRDefault="00765C6E" w:rsidP="005103B2">
          <w:pPr>
            <w:pStyle w:val="Fuzeile"/>
            <w:tabs>
              <w:tab w:val="clear" w:pos="9072"/>
              <w:tab w:val="right" w:pos="8505"/>
            </w:tabs>
            <w:rPr>
              <w:rFonts w:cs="Arial"/>
              <w:sz w:val="14"/>
              <w:szCs w:val="14"/>
            </w:rPr>
          </w:pPr>
          <w:r>
            <w:rPr>
              <w:rFonts w:cs="Arial"/>
              <w:sz w:val="14"/>
              <w:szCs w:val="14"/>
            </w:rPr>
            <w:t>03.06.2022</w:t>
          </w:r>
        </w:p>
      </w:tc>
      <w:tc>
        <w:tcPr>
          <w:tcW w:w="1476" w:type="dxa"/>
          <w:hideMark/>
        </w:tcPr>
        <w:p w14:paraId="193E3398" w14:textId="77777777" w:rsidR="005103B2" w:rsidRPr="008A3F9B" w:rsidRDefault="005103B2" w:rsidP="005103B2">
          <w:pPr>
            <w:pStyle w:val="Fuzeile"/>
            <w:tabs>
              <w:tab w:val="clear" w:pos="9072"/>
              <w:tab w:val="right" w:pos="8505"/>
            </w:tabs>
            <w:rPr>
              <w:rFonts w:cs="Arial"/>
              <w:sz w:val="14"/>
              <w:szCs w:val="14"/>
            </w:rPr>
          </w:pPr>
          <w:r>
            <w:rPr>
              <w:rFonts w:cs="Arial"/>
              <w:sz w:val="14"/>
              <w:szCs w:val="14"/>
            </w:rPr>
            <w:t>-</w:t>
          </w:r>
        </w:p>
      </w:tc>
      <w:tc>
        <w:tcPr>
          <w:tcW w:w="934" w:type="dxa"/>
        </w:tcPr>
        <w:p w14:paraId="024E1375" w14:textId="2B3AF49D" w:rsidR="005103B2" w:rsidRPr="008A3F9B" w:rsidRDefault="00765C6E" w:rsidP="005103B2">
          <w:pPr>
            <w:pStyle w:val="Fuzeile"/>
            <w:tabs>
              <w:tab w:val="clear" w:pos="9072"/>
              <w:tab w:val="right" w:pos="8505"/>
            </w:tabs>
            <w:rPr>
              <w:rFonts w:cs="Arial"/>
              <w:sz w:val="14"/>
              <w:szCs w:val="14"/>
            </w:rPr>
          </w:pPr>
          <w:r>
            <w:rPr>
              <w:rFonts w:cs="Arial"/>
              <w:sz w:val="14"/>
              <w:szCs w:val="14"/>
            </w:rPr>
            <w:t>03.06.2022</w:t>
          </w:r>
        </w:p>
      </w:tc>
      <w:tc>
        <w:tcPr>
          <w:tcW w:w="1701" w:type="dxa"/>
          <w:hideMark/>
        </w:tcPr>
        <w:p w14:paraId="084D1CB0" w14:textId="19E02AD0" w:rsidR="005103B2" w:rsidRPr="008A3F9B" w:rsidRDefault="00765C6E" w:rsidP="005103B2">
          <w:pPr>
            <w:pStyle w:val="Fuzeile"/>
            <w:tabs>
              <w:tab w:val="right" w:pos="8505"/>
            </w:tabs>
            <w:rPr>
              <w:rFonts w:cs="Arial"/>
              <w:sz w:val="14"/>
              <w:szCs w:val="14"/>
            </w:rPr>
          </w:pPr>
          <w:r>
            <w:rPr>
              <w:rFonts w:cs="Arial"/>
              <w:sz w:val="14"/>
              <w:szCs w:val="14"/>
            </w:rPr>
            <w:t>N. Bonadies</w:t>
          </w:r>
        </w:p>
      </w:tc>
      <w:tc>
        <w:tcPr>
          <w:tcW w:w="473" w:type="dxa"/>
          <w:hideMark/>
        </w:tcPr>
        <w:p w14:paraId="115253B9" w14:textId="77777777" w:rsidR="005103B2" w:rsidRPr="008A3F9B" w:rsidRDefault="005103B2" w:rsidP="005103B2">
          <w:pPr>
            <w:pStyle w:val="Fuzeile"/>
            <w:tabs>
              <w:tab w:val="right" w:pos="8505"/>
            </w:tabs>
            <w:jc w:val="right"/>
            <w:rPr>
              <w:rFonts w:cs="Arial"/>
              <w:sz w:val="14"/>
              <w:szCs w:val="14"/>
            </w:rPr>
          </w:pPr>
          <w:r w:rsidRPr="008A3F9B">
            <w:rPr>
              <w:rFonts w:cs="Arial"/>
              <w:sz w:val="14"/>
              <w:szCs w:val="14"/>
            </w:rPr>
            <w:fldChar w:fldCharType="begin"/>
          </w:r>
          <w:r w:rsidRPr="008A3F9B">
            <w:rPr>
              <w:rFonts w:cs="Arial"/>
              <w:sz w:val="14"/>
              <w:szCs w:val="14"/>
            </w:rPr>
            <w:instrText xml:space="preserve"> PAGE  \* MERGEFORMAT </w:instrText>
          </w:r>
          <w:r w:rsidRPr="008A3F9B">
            <w:rPr>
              <w:rFonts w:cs="Arial"/>
              <w:sz w:val="14"/>
              <w:szCs w:val="14"/>
            </w:rPr>
            <w:fldChar w:fldCharType="separate"/>
          </w:r>
          <w:r w:rsidR="00C1725E">
            <w:rPr>
              <w:rFonts w:cs="Arial"/>
              <w:noProof/>
              <w:sz w:val="14"/>
              <w:szCs w:val="14"/>
            </w:rPr>
            <w:t>1</w:t>
          </w:r>
          <w:r w:rsidRPr="008A3F9B">
            <w:rPr>
              <w:rFonts w:cs="Arial"/>
              <w:sz w:val="14"/>
              <w:szCs w:val="14"/>
            </w:rPr>
            <w:fldChar w:fldCharType="end"/>
          </w:r>
          <w:r w:rsidRPr="008A3F9B">
            <w:rPr>
              <w:rFonts w:cs="Arial"/>
              <w:sz w:val="14"/>
              <w:szCs w:val="14"/>
            </w:rPr>
            <w:t>/</w:t>
          </w:r>
          <w:r w:rsidRPr="008A3F9B">
            <w:rPr>
              <w:rFonts w:cs="Arial"/>
              <w:sz w:val="14"/>
              <w:szCs w:val="14"/>
            </w:rPr>
            <w:fldChar w:fldCharType="begin"/>
          </w:r>
          <w:r w:rsidRPr="008A3F9B">
            <w:rPr>
              <w:rFonts w:cs="Arial"/>
              <w:sz w:val="14"/>
              <w:szCs w:val="14"/>
            </w:rPr>
            <w:instrText xml:space="preserve"> NUMPAGES  \* MERGEFORMAT </w:instrText>
          </w:r>
          <w:r w:rsidRPr="008A3F9B">
            <w:rPr>
              <w:rFonts w:cs="Arial"/>
              <w:sz w:val="14"/>
              <w:szCs w:val="14"/>
            </w:rPr>
            <w:fldChar w:fldCharType="separate"/>
          </w:r>
          <w:r w:rsidR="00C1725E">
            <w:rPr>
              <w:rFonts w:cs="Arial"/>
              <w:noProof/>
              <w:sz w:val="14"/>
              <w:szCs w:val="14"/>
            </w:rPr>
            <w:t>5</w:t>
          </w:r>
          <w:r w:rsidRPr="008A3F9B">
            <w:rPr>
              <w:rFonts w:cs="Arial"/>
              <w:sz w:val="14"/>
              <w:szCs w:val="14"/>
            </w:rPr>
            <w:fldChar w:fldCharType="end"/>
          </w:r>
        </w:p>
      </w:tc>
    </w:tr>
  </w:tbl>
  <w:p w14:paraId="4A4BCDCB" w14:textId="77777777" w:rsidR="00E62808" w:rsidRPr="00D8574F" w:rsidRDefault="00E62808">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58DB9" w14:textId="77777777" w:rsidR="000E7FB8" w:rsidRDefault="000E7F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096AC" w14:textId="77777777" w:rsidR="004A2E08" w:rsidRDefault="004A2E08">
      <w:r>
        <w:separator/>
      </w:r>
    </w:p>
    <w:p w14:paraId="4DF10B84" w14:textId="77777777" w:rsidR="004A2E08" w:rsidRDefault="004A2E08"/>
  </w:footnote>
  <w:footnote w:type="continuationSeparator" w:id="0">
    <w:p w14:paraId="2B6BD07D" w14:textId="77777777" w:rsidR="004A2E08" w:rsidRDefault="004A2E08">
      <w:r>
        <w:continuationSeparator/>
      </w:r>
    </w:p>
    <w:p w14:paraId="622A0853" w14:textId="77777777" w:rsidR="004A2E08" w:rsidRDefault="004A2E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62B7" w14:textId="77777777" w:rsidR="00CB20AD" w:rsidRDefault="00CB20AD">
    <w:pPr>
      <w:pStyle w:val="Kopfzeile"/>
    </w:pPr>
  </w:p>
  <w:p w14:paraId="4AECD109" w14:textId="77777777" w:rsidR="00CB20AD" w:rsidRDefault="00CB20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005" w:type="dxa"/>
      <w:tblBorders>
        <w:bottom w:val="single" w:sz="6" w:space="0" w:color="auto"/>
      </w:tblBorders>
      <w:tblLayout w:type="fixed"/>
      <w:tblCellMar>
        <w:left w:w="0" w:type="dxa"/>
        <w:right w:w="0" w:type="dxa"/>
      </w:tblCellMar>
      <w:tblLook w:val="0000" w:firstRow="0" w:lastRow="0" w:firstColumn="0" w:lastColumn="0" w:noHBand="0" w:noVBand="0"/>
    </w:tblPr>
    <w:tblGrid>
      <w:gridCol w:w="6005"/>
    </w:tblGrid>
    <w:tr w:rsidR="000E7FB8" w14:paraId="19BAED31" w14:textId="77777777" w:rsidTr="000E7FB8">
      <w:trPr>
        <w:cantSplit/>
      </w:trPr>
      <w:tc>
        <w:tcPr>
          <w:tcW w:w="6005" w:type="dxa"/>
          <w:tcBorders>
            <w:top w:val="nil"/>
            <w:left w:val="nil"/>
            <w:bottom w:val="nil"/>
            <w:right w:val="nil"/>
          </w:tcBorders>
        </w:tcPr>
        <w:p w14:paraId="227ED590" w14:textId="4063A9A4" w:rsidR="000E7FB8" w:rsidRDefault="000E7FB8" w:rsidP="009F151F">
          <w:pPr>
            <w:tabs>
              <w:tab w:val="left" w:pos="5087"/>
            </w:tabs>
            <w:spacing w:after="40"/>
            <w:rPr>
              <w:sz w:val="16"/>
            </w:rPr>
          </w:pPr>
          <w:r>
            <w:rPr>
              <w:noProof/>
            </w:rPr>
            <w:drawing>
              <wp:anchor distT="0" distB="0" distL="114300" distR="114300" simplePos="0" relativeHeight="251661312" behindDoc="0" locked="0" layoutInCell="1" allowOverlap="1" wp14:anchorId="34EF18D3" wp14:editId="3C3E3F16">
                <wp:simplePos x="0" y="0"/>
                <wp:positionH relativeFrom="column">
                  <wp:posOffset>-139065</wp:posOffset>
                </wp:positionH>
                <wp:positionV relativeFrom="paragraph">
                  <wp:posOffset>20955</wp:posOffset>
                </wp:positionV>
                <wp:extent cx="3150235" cy="78994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0235" cy="789940"/>
                        </a:xfrm>
                        <a:prstGeom prst="rect">
                          <a:avLst/>
                        </a:prstGeom>
                        <a:noFill/>
                        <a:ln>
                          <a:noFill/>
                        </a:ln>
                      </pic:spPr>
                    </pic:pic>
                  </a:graphicData>
                </a:graphic>
              </wp:anchor>
            </w:drawing>
          </w:r>
        </w:p>
      </w:tc>
    </w:tr>
  </w:tbl>
  <w:p w14:paraId="332A2C25" w14:textId="40ADF8C3" w:rsidR="00CB20AD" w:rsidRDefault="000E7FB8" w:rsidP="0030432B">
    <w:pPr>
      <w:ind w:right="7"/>
    </w:pPr>
    <w:r>
      <w:rPr>
        <w:noProof/>
      </w:rPr>
      <mc:AlternateContent>
        <mc:Choice Requires="wps">
          <w:drawing>
            <wp:anchor distT="45720" distB="45720" distL="114300" distR="114300" simplePos="0" relativeHeight="251663360" behindDoc="0" locked="0" layoutInCell="1" allowOverlap="1" wp14:anchorId="36516155" wp14:editId="7AD3368C">
              <wp:simplePos x="0" y="0"/>
              <wp:positionH relativeFrom="column">
                <wp:posOffset>3813810</wp:posOffset>
              </wp:positionH>
              <wp:positionV relativeFrom="paragraph">
                <wp:posOffset>-234950</wp:posOffset>
              </wp:positionV>
              <wp:extent cx="2360930" cy="1404620"/>
              <wp:effectExtent l="0" t="0" r="127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8683F17" w14:textId="77777777" w:rsidR="000E7FB8" w:rsidRPr="00747B07" w:rsidRDefault="000E7FB8" w:rsidP="000E7FB8">
                          <w:pPr>
                            <w:tabs>
                              <w:tab w:val="left" w:pos="1843"/>
                            </w:tabs>
                            <w:rPr>
                              <w:rFonts w:eastAsiaTheme="majorEastAsia" w:cs="Arial"/>
                              <w:b/>
                              <w:bCs/>
                              <w:noProof/>
                              <w:color w:val="432918"/>
                              <w:kern w:val="28"/>
                              <w:sz w:val="16"/>
                              <w:szCs w:val="16"/>
                            </w:rPr>
                          </w:pPr>
                          <w:r w:rsidRPr="00747B07">
                            <w:rPr>
                              <w:rFonts w:eastAsiaTheme="majorEastAsia" w:cs="Arial"/>
                              <w:b/>
                              <w:bCs/>
                              <w:noProof/>
                              <w:color w:val="432918"/>
                              <w:kern w:val="28"/>
                              <w:sz w:val="16"/>
                              <w:szCs w:val="16"/>
                            </w:rPr>
                            <w:t>Praxis für Hämatologie und Onkologie</w:t>
                          </w:r>
                        </w:p>
                        <w:p w14:paraId="22491B1E" w14:textId="77777777" w:rsidR="000E7FB8" w:rsidRPr="00747B07" w:rsidRDefault="000E7FB8" w:rsidP="000E7FB8">
                          <w:pPr>
                            <w:tabs>
                              <w:tab w:val="left" w:pos="1843"/>
                            </w:tabs>
                            <w:contextualSpacing/>
                            <w:rPr>
                              <w:rFonts w:eastAsiaTheme="majorEastAsia" w:cs="Arial"/>
                              <w:b/>
                              <w:bCs/>
                              <w:noProof/>
                              <w:color w:val="432918"/>
                              <w:kern w:val="28"/>
                              <w:sz w:val="16"/>
                              <w:szCs w:val="16"/>
                            </w:rPr>
                          </w:pPr>
                          <w:r w:rsidRPr="00747B07">
                            <w:rPr>
                              <w:rFonts w:eastAsiaTheme="majorEastAsia" w:cs="Arial"/>
                              <w:b/>
                              <w:bCs/>
                              <w:noProof/>
                              <w:color w:val="432918"/>
                              <w:kern w:val="28"/>
                              <w:sz w:val="16"/>
                              <w:szCs w:val="16"/>
                            </w:rPr>
                            <w:t>Prof. Dr. med. Nicolas Bonadies</w:t>
                          </w:r>
                        </w:p>
                        <w:p w14:paraId="69A2057E" w14:textId="77777777" w:rsidR="000E7FB8" w:rsidRPr="00747B07" w:rsidRDefault="000E7FB8" w:rsidP="000E7FB8">
                          <w:pPr>
                            <w:tabs>
                              <w:tab w:val="left" w:pos="1843"/>
                            </w:tabs>
                            <w:contextualSpacing/>
                            <w:rPr>
                              <w:rFonts w:eastAsiaTheme="majorEastAsia" w:cs="Arial"/>
                              <w:noProof/>
                              <w:color w:val="432918"/>
                              <w:kern w:val="28"/>
                              <w:sz w:val="16"/>
                              <w:szCs w:val="16"/>
                            </w:rPr>
                          </w:pPr>
                          <w:r w:rsidRPr="00747B07">
                            <w:rPr>
                              <w:rFonts w:eastAsiaTheme="majorEastAsia" w:cs="Arial"/>
                              <w:noProof/>
                              <w:color w:val="432918"/>
                              <w:kern w:val="28"/>
                              <w:sz w:val="16"/>
                              <w:szCs w:val="16"/>
                            </w:rPr>
                            <w:t>FMH Hämatologie und Innere Medizin</w:t>
                          </w:r>
                        </w:p>
                        <w:p w14:paraId="07B9AA70" w14:textId="77777777" w:rsidR="000E7FB8" w:rsidRPr="00747B07" w:rsidRDefault="000E7FB8" w:rsidP="000E7FB8">
                          <w:pPr>
                            <w:tabs>
                              <w:tab w:val="left" w:pos="1843"/>
                            </w:tabs>
                            <w:contextualSpacing/>
                            <w:rPr>
                              <w:rFonts w:eastAsiaTheme="majorEastAsia" w:cs="Arial"/>
                              <w:noProof/>
                              <w:color w:val="432918"/>
                              <w:kern w:val="28"/>
                              <w:sz w:val="16"/>
                              <w:szCs w:val="16"/>
                            </w:rPr>
                          </w:pPr>
                          <w:r w:rsidRPr="00747B07">
                            <w:rPr>
                              <w:rFonts w:eastAsiaTheme="majorEastAsia" w:cs="Arial"/>
                              <w:noProof/>
                              <w:color w:val="432918"/>
                              <w:kern w:val="28"/>
                              <w:sz w:val="16"/>
                              <w:szCs w:val="16"/>
                            </w:rPr>
                            <w:t>FAMH Hämatologische Laboranalytik</w:t>
                          </w:r>
                        </w:p>
                        <w:p w14:paraId="78CC413B" w14:textId="77777777" w:rsidR="000E7FB8" w:rsidRPr="00747B07" w:rsidRDefault="000E7FB8" w:rsidP="000E7FB8">
                          <w:pPr>
                            <w:tabs>
                              <w:tab w:val="left" w:pos="1843"/>
                            </w:tabs>
                            <w:contextualSpacing/>
                            <w:rPr>
                              <w:rFonts w:eastAsiaTheme="majorEastAsia" w:cs="Arial"/>
                              <w:noProof/>
                              <w:color w:val="432918"/>
                              <w:kern w:val="28"/>
                              <w:sz w:val="16"/>
                              <w:szCs w:val="16"/>
                            </w:rPr>
                          </w:pPr>
                          <w:r w:rsidRPr="00747B07">
                            <w:rPr>
                              <w:rFonts w:eastAsiaTheme="majorEastAsia" w:cs="Arial"/>
                              <w:noProof/>
                              <w:color w:val="432918"/>
                              <w:kern w:val="28"/>
                              <w:sz w:val="16"/>
                              <w:szCs w:val="16"/>
                            </w:rPr>
                            <w:t>GLN: 7601000620194</w:t>
                          </w:r>
                        </w:p>
                        <w:p w14:paraId="4EEF7DA0" w14:textId="77777777" w:rsidR="000E7FB8" w:rsidRPr="00747B07" w:rsidRDefault="000E7FB8" w:rsidP="000E7FB8">
                          <w:pPr>
                            <w:tabs>
                              <w:tab w:val="left" w:pos="1843"/>
                            </w:tabs>
                            <w:contextualSpacing/>
                            <w:rPr>
                              <w:rFonts w:eastAsiaTheme="majorEastAsia" w:cs="Arial"/>
                              <w:noProof/>
                              <w:color w:val="432918"/>
                              <w:kern w:val="28"/>
                              <w:sz w:val="16"/>
                              <w:szCs w:val="16"/>
                            </w:rPr>
                          </w:pPr>
                          <w:r w:rsidRPr="00747B07">
                            <w:rPr>
                              <w:rFonts w:eastAsiaTheme="majorEastAsia" w:cs="Arial"/>
                              <w:noProof/>
                              <w:color w:val="432918"/>
                              <w:kern w:val="28"/>
                              <w:sz w:val="16"/>
                              <w:szCs w:val="16"/>
                            </w:rPr>
                            <w:t>Storchengasse 6 | CH-2540 Grenchen</w:t>
                          </w:r>
                        </w:p>
                        <w:p w14:paraId="54B35371" w14:textId="77777777" w:rsidR="000E7FB8" w:rsidRPr="00747B07" w:rsidRDefault="000E7FB8" w:rsidP="000E7FB8">
                          <w:pPr>
                            <w:tabs>
                              <w:tab w:val="left" w:pos="1843"/>
                            </w:tabs>
                            <w:contextualSpacing/>
                            <w:rPr>
                              <w:rFonts w:eastAsiaTheme="minorEastAsia" w:cs="Arial"/>
                              <w:color w:val="432918"/>
                              <w:sz w:val="15"/>
                              <w:szCs w:val="15"/>
                            </w:rPr>
                          </w:pPr>
                          <w:r w:rsidRPr="00747B07">
                            <w:rPr>
                              <w:rFonts w:eastAsiaTheme="majorEastAsia" w:cs="Arial"/>
                              <w:noProof/>
                              <w:color w:val="432918"/>
                              <w:kern w:val="28"/>
                              <w:sz w:val="16"/>
                              <w:szCs w:val="16"/>
                            </w:rPr>
                            <w:t xml:space="preserve">Monbijoustrasse 10 | CH-3011 Bern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6516155" id="_x0000_t202" coordsize="21600,21600" o:spt="202" path="m,l,21600r21600,l21600,xe">
              <v:stroke joinstyle="miter"/>
              <v:path gradientshapeok="t" o:connecttype="rect"/>
            </v:shapetype>
            <v:shape id="Textfeld 2" o:spid="_x0000_s1026" type="#_x0000_t202" style="position:absolute;margin-left:300.3pt;margin-top:-18.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" stroked="f">
              <v:textbox style="mso-fit-shape-to-text:t">
                <w:txbxContent>
                  <w:p w14:paraId="08683F17" w14:textId="77777777" w:rsidR="000E7FB8" w:rsidRPr="00747B07" w:rsidRDefault="000E7FB8" w:rsidP="000E7FB8">
                    <w:pPr>
                      <w:tabs>
                        <w:tab w:val="left" w:pos="1843"/>
                      </w:tabs>
                      <w:rPr>
                        <w:rFonts w:eastAsiaTheme="majorEastAsia" w:cs="Arial"/>
                        <w:b/>
                        <w:bCs/>
                        <w:noProof/>
                        <w:color w:val="432918"/>
                        <w:kern w:val="28"/>
                        <w:sz w:val="16"/>
                        <w:szCs w:val="16"/>
                      </w:rPr>
                    </w:pPr>
                    <w:r w:rsidRPr="00747B07">
                      <w:rPr>
                        <w:rFonts w:eastAsiaTheme="majorEastAsia" w:cs="Arial"/>
                        <w:b/>
                        <w:bCs/>
                        <w:noProof/>
                        <w:color w:val="432918"/>
                        <w:kern w:val="28"/>
                        <w:sz w:val="16"/>
                        <w:szCs w:val="16"/>
                      </w:rPr>
                      <w:t>Praxis für Hämatologie und Onkologie</w:t>
                    </w:r>
                  </w:p>
                  <w:p w14:paraId="22491B1E" w14:textId="77777777" w:rsidR="000E7FB8" w:rsidRPr="00747B07" w:rsidRDefault="000E7FB8" w:rsidP="000E7FB8">
                    <w:pPr>
                      <w:tabs>
                        <w:tab w:val="left" w:pos="1843"/>
                      </w:tabs>
                      <w:contextualSpacing/>
                      <w:rPr>
                        <w:rFonts w:eastAsiaTheme="majorEastAsia" w:cs="Arial"/>
                        <w:b/>
                        <w:bCs/>
                        <w:noProof/>
                        <w:color w:val="432918"/>
                        <w:kern w:val="28"/>
                        <w:sz w:val="16"/>
                        <w:szCs w:val="16"/>
                      </w:rPr>
                    </w:pPr>
                    <w:r w:rsidRPr="00747B07">
                      <w:rPr>
                        <w:rFonts w:eastAsiaTheme="majorEastAsia" w:cs="Arial"/>
                        <w:b/>
                        <w:bCs/>
                        <w:noProof/>
                        <w:color w:val="432918"/>
                        <w:kern w:val="28"/>
                        <w:sz w:val="16"/>
                        <w:szCs w:val="16"/>
                      </w:rPr>
                      <w:t>Prof. Dr. med. Nicolas Bonadies</w:t>
                    </w:r>
                  </w:p>
                  <w:p w14:paraId="69A2057E" w14:textId="77777777" w:rsidR="000E7FB8" w:rsidRPr="00747B07" w:rsidRDefault="000E7FB8" w:rsidP="000E7FB8">
                    <w:pPr>
                      <w:tabs>
                        <w:tab w:val="left" w:pos="1843"/>
                      </w:tabs>
                      <w:contextualSpacing/>
                      <w:rPr>
                        <w:rFonts w:eastAsiaTheme="majorEastAsia" w:cs="Arial"/>
                        <w:noProof/>
                        <w:color w:val="432918"/>
                        <w:kern w:val="28"/>
                        <w:sz w:val="16"/>
                        <w:szCs w:val="16"/>
                      </w:rPr>
                    </w:pPr>
                    <w:r w:rsidRPr="00747B07">
                      <w:rPr>
                        <w:rFonts w:eastAsiaTheme="majorEastAsia" w:cs="Arial"/>
                        <w:noProof/>
                        <w:color w:val="432918"/>
                        <w:kern w:val="28"/>
                        <w:sz w:val="16"/>
                        <w:szCs w:val="16"/>
                      </w:rPr>
                      <w:t>FMH Hämatologie und Innere Medizin</w:t>
                    </w:r>
                  </w:p>
                  <w:p w14:paraId="07B9AA70" w14:textId="77777777" w:rsidR="000E7FB8" w:rsidRPr="00747B07" w:rsidRDefault="000E7FB8" w:rsidP="000E7FB8">
                    <w:pPr>
                      <w:tabs>
                        <w:tab w:val="left" w:pos="1843"/>
                      </w:tabs>
                      <w:contextualSpacing/>
                      <w:rPr>
                        <w:rFonts w:eastAsiaTheme="majorEastAsia" w:cs="Arial"/>
                        <w:noProof/>
                        <w:color w:val="432918"/>
                        <w:kern w:val="28"/>
                        <w:sz w:val="16"/>
                        <w:szCs w:val="16"/>
                      </w:rPr>
                    </w:pPr>
                    <w:r w:rsidRPr="00747B07">
                      <w:rPr>
                        <w:rFonts w:eastAsiaTheme="majorEastAsia" w:cs="Arial"/>
                        <w:noProof/>
                        <w:color w:val="432918"/>
                        <w:kern w:val="28"/>
                        <w:sz w:val="16"/>
                        <w:szCs w:val="16"/>
                      </w:rPr>
                      <w:t>FAMH Hämatologische Laboranalytik</w:t>
                    </w:r>
                  </w:p>
                  <w:p w14:paraId="78CC413B" w14:textId="77777777" w:rsidR="000E7FB8" w:rsidRPr="00747B07" w:rsidRDefault="000E7FB8" w:rsidP="000E7FB8">
                    <w:pPr>
                      <w:tabs>
                        <w:tab w:val="left" w:pos="1843"/>
                      </w:tabs>
                      <w:contextualSpacing/>
                      <w:rPr>
                        <w:rFonts w:eastAsiaTheme="majorEastAsia" w:cs="Arial"/>
                        <w:noProof/>
                        <w:color w:val="432918"/>
                        <w:kern w:val="28"/>
                        <w:sz w:val="16"/>
                        <w:szCs w:val="16"/>
                      </w:rPr>
                    </w:pPr>
                    <w:r w:rsidRPr="00747B07">
                      <w:rPr>
                        <w:rFonts w:eastAsiaTheme="majorEastAsia" w:cs="Arial"/>
                        <w:noProof/>
                        <w:color w:val="432918"/>
                        <w:kern w:val="28"/>
                        <w:sz w:val="16"/>
                        <w:szCs w:val="16"/>
                      </w:rPr>
                      <w:t>GLN: 7601000620194</w:t>
                    </w:r>
                  </w:p>
                  <w:p w14:paraId="4EEF7DA0" w14:textId="77777777" w:rsidR="000E7FB8" w:rsidRPr="00747B07" w:rsidRDefault="000E7FB8" w:rsidP="000E7FB8">
                    <w:pPr>
                      <w:tabs>
                        <w:tab w:val="left" w:pos="1843"/>
                      </w:tabs>
                      <w:contextualSpacing/>
                      <w:rPr>
                        <w:rFonts w:eastAsiaTheme="majorEastAsia" w:cs="Arial"/>
                        <w:noProof/>
                        <w:color w:val="432918"/>
                        <w:kern w:val="28"/>
                        <w:sz w:val="16"/>
                        <w:szCs w:val="16"/>
                      </w:rPr>
                    </w:pPr>
                    <w:r w:rsidRPr="00747B07">
                      <w:rPr>
                        <w:rFonts w:eastAsiaTheme="majorEastAsia" w:cs="Arial"/>
                        <w:noProof/>
                        <w:color w:val="432918"/>
                        <w:kern w:val="28"/>
                        <w:sz w:val="16"/>
                        <w:szCs w:val="16"/>
                      </w:rPr>
                      <w:t>Storchengasse 6 | CH-2540 Grenchen</w:t>
                    </w:r>
                  </w:p>
                  <w:p w14:paraId="54B35371" w14:textId="77777777" w:rsidR="000E7FB8" w:rsidRPr="00747B07" w:rsidRDefault="000E7FB8" w:rsidP="000E7FB8">
                    <w:pPr>
                      <w:tabs>
                        <w:tab w:val="left" w:pos="1843"/>
                      </w:tabs>
                      <w:contextualSpacing/>
                      <w:rPr>
                        <w:rFonts w:eastAsiaTheme="minorEastAsia" w:cs="Arial"/>
                        <w:color w:val="432918"/>
                        <w:sz w:val="15"/>
                        <w:szCs w:val="15"/>
                      </w:rPr>
                    </w:pPr>
                    <w:r w:rsidRPr="00747B07">
                      <w:rPr>
                        <w:rFonts w:eastAsiaTheme="majorEastAsia" w:cs="Arial"/>
                        <w:noProof/>
                        <w:color w:val="432918"/>
                        <w:kern w:val="28"/>
                        <w:sz w:val="16"/>
                        <w:szCs w:val="16"/>
                      </w:rPr>
                      <w:t xml:space="preserve">Monbijoustrasse 10 | CH-3011 Bern </w:t>
                    </w:r>
                  </w:p>
                </w:txbxContent>
              </v:textbox>
            </v:shape>
          </w:pict>
        </mc:Fallback>
      </mc:AlternateContent>
    </w:r>
  </w:p>
  <w:p w14:paraId="20A488C4" w14:textId="4AC69E26" w:rsidR="000E7FB8" w:rsidRDefault="000E7FB8" w:rsidP="000E7FB8">
    <w:pPr>
      <w:tabs>
        <w:tab w:val="left" w:pos="7290"/>
      </w:tabs>
      <w:ind w:right="7"/>
    </w:pPr>
    <w:r>
      <w:tab/>
    </w:r>
  </w:p>
  <w:p w14:paraId="240DAA0F" w14:textId="3B41C602" w:rsidR="000E7FB8" w:rsidRDefault="000E7FB8" w:rsidP="0030432B">
    <w:pPr>
      <w:ind w:right="7"/>
    </w:pPr>
  </w:p>
  <w:p w14:paraId="65561C48" w14:textId="3387E307" w:rsidR="000E7FB8" w:rsidRDefault="000E7FB8" w:rsidP="0030432B">
    <w:pPr>
      <w:ind w:right="7"/>
    </w:pPr>
  </w:p>
  <w:p w14:paraId="7F1D5A75" w14:textId="77777777" w:rsidR="000E7FB8" w:rsidRDefault="000E7FB8" w:rsidP="0030432B">
    <w:pPr>
      <w:ind w:right="7"/>
    </w:pPr>
  </w:p>
  <w:p w14:paraId="5581D6A2" w14:textId="77777777" w:rsidR="000E7FB8" w:rsidRPr="005B75DB" w:rsidRDefault="000E7FB8" w:rsidP="0030432B">
    <w:pPr>
      <w:ind w:right="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A114" w14:textId="77777777" w:rsidR="000E7FB8" w:rsidRDefault="000E7FB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0C8"/>
    <w:multiLevelType w:val="hybridMultilevel"/>
    <w:tmpl w:val="0D84C6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30A3F3A"/>
    <w:multiLevelType w:val="hybridMultilevel"/>
    <w:tmpl w:val="CE205E70"/>
    <w:lvl w:ilvl="0" w:tplc="6C6A9ED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6B50CBB"/>
    <w:multiLevelType w:val="hybridMultilevel"/>
    <w:tmpl w:val="4544D4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A24259D"/>
    <w:multiLevelType w:val="hybridMultilevel"/>
    <w:tmpl w:val="9B50EC96"/>
    <w:lvl w:ilvl="0" w:tplc="0407000F">
      <w:start w:val="3"/>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38C1C08"/>
    <w:multiLevelType w:val="multilevel"/>
    <w:tmpl w:val="6E8435AC"/>
    <w:lvl w:ilvl="0">
      <w:start w:val="1"/>
      <w:numFmt w:val="bullet"/>
      <w:lvlText w:val="-"/>
      <w:lvlJc w:val="left"/>
      <w:pPr>
        <w:tabs>
          <w:tab w:val="num" w:pos="720"/>
        </w:tabs>
        <w:ind w:left="720" w:hanging="360"/>
      </w:pPr>
      <w:rPr>
        <w:sz w:val="16"/>
      </w:rPr>
    </w:lvl>
    <w:lvl w:ilvl="1">
      <w:start w:val="1"/>
      <w:numFmt w:val="lowerLetter"/>
      <w:lvlText w:val="%2)"/>
      <w:lvlJc w:val="left"/>
      <w:pPr>
        <w:tabs>
          <w:tab w:val="num" w:pos="1080"/>
        </w:tabs>
        <w:ind w:left="1080" w:hanging="360"/>
      </w:pPr>
      <w:rPr>
        <w:rFonts w:hint="default"/>
      </w:rPr>
    </w:lvl>
    <w:lvl w:ilvl="2">
      <w:start w:val="1"/>
      <w:numFmt w:val="none"/>
      <w:lvlText w:val="%3-"/>
      <w:lvlJc w:val="left"/>
      <w:pPr>
        <w:tabs>
          <w:tab w:val="num" w:pos="1440"/>
        </w:tabs>
        <w:ind w:left="1440" w:hanging="360"/>
      </w:pPr>
      <w:rPr>
        <w:rFonts w:hint="default"/>
      </w:rPr>
    </w:lvl>
    <w:lvl w:ilvl="3">
      <w:start w:val="1"/>
      <w:numFmt w:val="none"/>
      <w:lvlText w:val="-"/>
      <w:lvlJc w:val="left"/>
      <w:pPr>
        <w:tabs>
          <w:tab w:val="num" w:pos="1800"/>
        </w:tabs>
        <w:ind w:left="1800" w:hanging="360"/>
      </w:pPr>
      <w:rPr>
        <w:rFonts w:hint="default"/>
      </w:rPr>
    </w:lvl>
    <w:lvl w:ilvl="4">
      <w:start w:val="1"/>
      <w:numFmt w:val="none"/>
      <w:lvlText w:val=""/>
      <w:lvlJc w:val="left"/>
      <w:pPr>
        <w:tabs>
          <w:tab w:val="num" w:pos="2160"/>
        </w:tabs>
        <w:ind w:left="2160" w:hanging="360"/>
      </w:pPr>
      <w:rPr>
        <w:rFonts w:hint="default"/>
      </w:rPr>
    </w:lvl>
    <w:lvl w:ilvl="5">
      <w:start w:val="1"/>
      <w:numFmt w:val="none"/>
      <w:lvlText w:val="(%6)"/>
      <w:lvlJc w:val="left"/>
      <w:pPr>
        <w:tabs>
          <w:tab w:val="num" w:pos="2520"/>
        </w:tabs>
        <w:ind w:left="2520" w:hanging="360"/>
      </w:pPr>
      <w:rPr>
        <w:rFonts w:hint="default"/>
      </w:rPr>
    </w:lvl>
    <w:lvl w:ilvl="6">
      <w:start w:val="1"/>
      <w:numFmt w:val="none"/>
      <w:lvlText w:val="%7."/>
      <w:lvlJc w:val="left"/>
      <w:pPr>
        <w:tabs>
          <w:tab w:val="num" w:pos="2880"/>
        </w:tabs>
        <w:ind w:left="2880" w:hanging="360"/>
      </w:pPr>
      <w:rPr>
        <w:rFonts w:hint="default"/>
      </w:rPr>
    </w:lvl>
    <w:lvl w:ilvl="7">
      <w:start w:val="1"/>
      <w:numFmt w:val="none"/>
      <w:lvlText w:val="%8."/>
      <w:lvlJc w:val="left"/>
      <w:pPr>
        <w:tabs>
          <w:tab w:val="num" w:pos="3240"/>
        </w:tabs>
        <w:ind w:left="3240" w:hanging="360"/>
      </w:pPr>
      <w:rPr>
        <w:rFonts w:hint="default"/>
      </w:rPr>
    </w:lvl>
    <w:lvl w:ilvl="8">
      <w:start w:val="1"/>
      <w:numFmt w:val="none"/>
      <w:lvlText w:val="%9."/>
      <w:lvlJc w:val="left"/>
      <w:pPr>
        <w:tabs>
          <w:tab w:val="num" w:pos="3600"/>
        </w:tabs>
        <w:ind w:left="3600" w:hanging="360"/>
      </w:pPr>
      <w:rPr>
        <w:rFonts w:hint="default"/>
      </w:rPr>
    </w:lvl>
  </w:abstractNum>
  <w:abstractNum w:abstractNumId="5" w15:restartNumberingAfterBreak="0">
    <w:nsid w:val="190D4479"/>
    <w:multiLevelType w:val="hybridMultilevel"/>
    <w:tmpl w:val="1854BB9E"/>
    <w:lvl w:ilvl="0" w:tplc="04070017">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A777DC5"/>
    <w:multiLevelType w:val="multilevel"/>
    <w:tmpl w:val="6E8435AC"/>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1CFE0463"/>
    <w:multiLevelType w:val="multilevel"/>
    <w:tmpl w:val="33C6A0B2"/>
    <w:lvl w:ilvl="0">
      <w:start w:val="4"/>
      <w:numFmt w:val="bullet"/>
      <w:lvlText w:val=""/>
      <w:lvlJc w:val="left"/>
      <w:pPr>
        <w:tabs>
          <w:tab w:val="num" w:pos="360"/>
        </w:tabs>
        <w:ind w:left="360" w:hanging="360"/>
      </w:pPr>
      <w:rPr>
        <w:rFonts w:ascii="Symbol" w:hAnsi="Symbol" w:hint="default"/>
        <w:color w:val="auto"/>
      </w:rPr>
    </w:lvl>
    <w:lvl w:ilvl="1">
      <w:start w:val="1"/>
      <w:numFmt w:val="ordinal"/>
      <w:lvlText w:val="%2"/>
      <w:lvlJc w:val="left"/>
      <w:pPr>
        <w:tabs>
          <w:tab w:val="num" w:pos="1080"/>
        </w:tabs>
        <w:ind w:left="720" w:hanging="360"/>
      </w:pPr>
      <w:rPr>
        <w:rFonts w:hint="default"/>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15:restartNumberingAfterBreak="0">
    <w:nsid w:val="1D1A2B72"/>
    <w:multiLevelType w:val="hybridMultilevel"/>
    <w:tmpl w:val="3006DC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E9A3022"/>
    <w:multiLevelType w:val="multilevel"/>
    <w:tmpl w:val="B1883F56"/>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 w15:restartNumberingAfterBreak="0">
    <w:nsid w:val="1FC16442"/>
    <w:multiLevelType w:val="multilevel"/>
    <w:tmpl w:val="6E8435AC"/>
    <w:lvl w:ilvl="0">
      <w:start w:val="1"/>
      <w:numFmt w:val="bullet"/>
      <w:lvlText w:val="-"/>
      <w:lvlJc w:val="left"/>
      <w:pPr>
        <w:tabs>
          <w:tab w:val="num" w:pos="720"/>
        </w:tabs>
        <w:ind w:left="720" w:hanging="360"/>
      </w:pPr>
      <w:rPr>
        <w:sz w:val="16"/>
      </w:rPr>
    </w:lvl>
    <w:lvl w:ilvl="1">
      <w:start w:val="1"/>
      <w:numFmt w:val="lowerLetter"/>
      <w:lvlText w:val="%2)"/>
      <w:lvlJc w:val="left"/>
      <w:pPr>
        <w:tabs>
          <w:tab w:val="num" w:pos="1080"/>
        </w:tabs>
        <w:ind w:left="1080" w:hanging="360"/>
      </w:pPr>
      <w:rPr>
        <w:rFonts w:hint="default"/>
      </w:rPr>
    </w:lvl>
    <w:lvl w:ilvl="2">
      <w:start w:val="1"/>
      <w:numFmt w:val="none"/>
      <w:lvlText w:val="%3-"/>
      <w:lvlJc w:val="left"/>
      <w:pPr>
        <w:tabs>
          <w:tab w:val="num" w:pos="1440"/>
        </w:tabs>
        <w:ind w:left="1440" w:hanging="360"/>
      </w:pPr>
      <w:rPr>
        <w:rFonts w:hint="default"/>
      </w:rPr>
    </w:lvl>
    <w:lvl w:ilvl="3">
      <w:start w:val="1"/>
      <w:numFmt w:val="none"/>
      <w:lvlText w:val="-"/>
      <w:lvlJc w:val="left"/>
      <w:pPr>
        <w:tabs>
          <w:tab w:val="num" w:pos="1800"/>
        </w:tabs>
        <w:ind w:left="1800" w:hanging="360"/>
      </w:pPr>
      <w:rPr>
        <w:rFonts w:hint="default"/>
      </w:rPr>
    </w:lvl>
    <w:lvl w:ilvl="4">
      <w:start w:val="1"/>
      <w:numFmt w:val="none"/>
      <w:lvlText w:val=""/>
      <w:lvlJc w:val="left"/>
      <w:pPr>
        <w:tabs>
          <w:tab w:val="num" w:pos="2160"/>
        </w:tabs>
        <w:ind w:left="2160" w:hanging="360"/>
      </w:pPr>
      <w:rPr>
        <w:rFonts w:hint="default"/>
      </w:rPr>
    </w:lvl>
    <w:lvl w:ilvl="5">
      <w:start w:val="1"/>
      <w:numFmt w:val="none"/>
      <w:lvlText w:val="(%6)"/>
      <w:lvlJc w:val="left"/>
      <w:pPr>
        <w:tabs>
          <w:tab w:val="num" w:pos="2520"/>
        </w:tabs>
        <w:ind w:left="2520" w:hanging="360"/>
      </w:pPr>
      <w:rPr>
        <w:rFonts w:hint="default"/>
      </w:rPr>
    </w:lvl>
    <w:lvl w:ilvl="6">
      <w:start w:val="1"/>
      <w:numFmt w:val="none"/>
      <w:lvlText w:val="%7."/>
      <w:lvlJc w:val="left"/>
      <w:pPr>
        <w:tabs>
          <w:tab w:val="num" w:pos="2880"/>
        </w:tabs>
        <w:ind w:left="2880" w:hanging="360"/>
      </w:pPr>
      <w:rPr>
        <w:rFonts w:hint="default"/>
      </w:rPr>
    </w:lvl>
    <w:lvl w:ilvl="7">
      <w:start w:val="1"/>
      <w:numFmt w:val="none"/>
      <w:lvlText w:val="%8."/>
      <w:lvlJc w:val="left"/>
      <w:pPr>
        <w:tabs>
          <w:tab w:val="num" w:pos="3240"/>
        </w:tabs>
        <w:ind w:left="3240" w:hanging="360"/>
      </w:pPr>
      <w:rPr>
        <w:rFonts w:hint="default"/>
      </w:rPr>
    </w:lvl>
    <w:lvl w:ilvl="8">
      <w:start w:val="1"/>
      <w:numFmt w:val="none"/>
      <w:lvlText w:val="%9."/>
      <w:lvlJc w:val="left"/>
      <w:pPr>
        <w:tabs>
          <w:tab w:val="num" w:pos="3600"/>
        </w:tabs>
        <w:ind w:left="3600" w:hanging="360"/>
      </w:pPr>
      <w:rPr>
        <w:rFonts w:hint="default"/>
      </w:rPr>
    </w:lvl>
  </w:abstractNum>
  <w:abstractNum w:abstractNumId="11" w15:restartNumberingAfterBreak="0">
    <w:nsid w:val="249A6340"/>
    <w:multiLevelType w:val="multilevel"/>
    <w:tmpl w:val="21A6375A"/>
    <w:lvl w:ilvl="0">
      <w:start w:val="4"/>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2" w15:restartNumberingAfterBreak="0">
    <w:nsid w:val="25BC47C4"/>
    <w:multiLevelType w:val="hybridMultilevel"/>
    <w:tmpl w:val="7A7C468E"/>
    <w:lvl w:ilvl="0" w:tplc="04070017">
      <w:start w:val="1"/>
      <w:numFmt w:val="lowerLetter"/>
      <w:lvlText w:val="%1)"/>
      <w:lvlJc w:val="left"/>
      <w:pPr>
        <w:tabs>
          <w:tab w:val="num" w:pos="1428"/>
        </w:tabs>
        <w:ind w:left="1428" w:hanging="360"/>
      </w:pPr>
      <w:rPr>
        <w:rFonts w:hint="default"/>
      </w:rPr>
    </w:lvl>
    <w:lvl w:ilvl="1" w:tplc="04070019">
      <w:start w:val="1"/>
      <w:numFmt w:val="lowerLetter"/>
      <w:lvlText w:val="%2."/>
      <w:lvlJc w:val="left"/>
      <w:pPr>
        <w:tabs>
          <w:tab w:val="num" w:pos="2148"/>
        </w:tabs>
        <w:ind w:left="2148" w:hanging="360"/>
      </w:pPr>
    </w:lvl>
    <w:lvl w:ilvl="2" w:tplc="0407001B">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13" w15:restartNumberingAfterBreak="0">
    <w:nsid w:val="25F42FF4"/>
    <w:multiLevelType w:val="hybridMultilevel"/>
    <w:tmpl w:val="D6A04C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7090E07"/>
    <w:multiLevelType w:val="hybridMultilevel"/>
    <w:tmpl w:val="83FE12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AA80C57"/>
    <w:multiLevelType w:val="multilevel"/>
    <w:tmpl w:val="723020E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none"/>
      <w:lvlText w:val="%3-"/>
      <w:lvlJc w:val="left"/>
      <w:pPr>
        <w:tabs>
          <w:tab w:val="num" w:pos="1070"/>
        </w:tabs>
        <w:ind w:left="107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6" w15:restartNumberingAfterBreak="0">
    <w:nsid w:val="45FC055D"/>
    <w:multiLevelType w:val="multilevel"/>
    <w:tmpl w:val="B1883F56"/>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7" w15:restartNumberingAfterBreak="0">
    <w:nsid w:val="465F7B49"/>
    <w:multiLevelType w:val="multilevel"/>
    <w:tmpl w:val="26F4A71C"/>
    <w:lvl w:ilvl="0">
      <w:start w:val="1"/>
      <w:numFmt w:val="decimal"/>
      <w:pStyle w:val="BBberschrift1"/>
      <w:lvlText w:val="%1."/>
      <w:lvlJc w:val="left"/>
      <w:pPr>
        <w:ind w:left="360" w:hanging="360"/>
      </w:pPr>
    </w:lvl>
    <w:lvl w:ilvl="1">
      <w:start w:val="1"/>
      <w:numFmt w:val="decimal"/>
      <w:pStyle w:val="BBberschrift2"/>
      <w:lvlText w:val="%1.%2."/>
      <w:lvlJc w:val="left"/>
      <w:pPr>
        <w:ind w:left="792" w:hanging="432"/>
      </w:pPr>
    </w:lvl>
    <w:lvl w:ilvl="2">
      <w:start w:val="1"/>
      <w:numFmt w:val="decimal"/>
      <w:pStyle w:val="BBberschrift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9B10C2"/>
    <w:multiLevelType w:val="hybridMultilevel"/>
    <w:tmpl w:val="5EFA24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6E42CE9"/>
    <w:multiLevelType w:val="multilevel"/>
    <w:tmpl w:val="B1883F56"/>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0" w15:restartNumberingAfterBreak="0">
    <w:nsid w:val="5841713D"/>
    <w:multiLevelType w:val="hybridMultilevel"/>
    <w:tmpl w:val="FCA4D76C"/>
    <w:lvl w:ilvl="0" w:tplc="04070011">
      <w:start w:val="1"/>
      <w:numFmt w:val="decimal"/>
      <w:lvlText w:val="%1)"/>
      <w:lvlJc w:val="left"/>
      <w:pPr>
        <w:tabs>
          <w:tab w:val="num" w:pos="360"/>
        </w:tabs>
        <w:ind w:left="360" w:hanging="360"/>
      </w:pPr>
      <w:rPr>
        <w:rFonts w:hint="default"/>
      </w:rPr>
    </w:lvl>
    <w:lvl w:ilvl="1" w:tplc="D3BA09FA">
      <w:start w:val="1"/>
      <w:numFmt w:val="bullet"/>
      <w:lvlText w:val="-"/>
      <w:lvlJc w:val="left"/>
      <w:pPr>
        <w:tabs>
          <w:tab w:val="num" w:pos="1080"/>
        </w:tabs>
        <w:ind w:left="1080" w:hanging="360"/>
      </w:pPr>
      <w:rPr>
        <w:rFonts w:ascii="Times New Roman" w:eastAsia="Times New Roman" w:hAnsi="Times New Roman" w:cs="Times New Roman"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1" w15:restartNumberingAfterBreak="0">
    <w:nsid w:val="591C59C0"/>
    <w:multiLevelType w:val="hybridMultilevel"/>
    <w:tmpl w:val="F836D2C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C9769CE"/>
    <w:multiLevelType w:val="hybridMultilevel"/>
    <w:tmpl w:val="BD2E29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48B7229"/>
    <w:multiLevelType w:val="hybridMultilevel"/>
    <w:tmpl w:val="88489A8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C9E47EB"/>
    <w:multiLevelType w:val="hybridMultilevel"/>
    <w:tmpl w:val="6742AA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2614AC4"/>
    <w:multiLevelType w:val="hybridMultilevel"/>
    <w:tmpl w:val="27264360"/>
    <w:lvl w:ilvl="0" w:tplc="266A32D2">
      <w:start w:val="4"/>
      <w:numFmt w:val="bullet"/>
      <w:lvlText w:val="-"/>
      <w:lvlJc w:val="left"/>
      <w:pPr>
        <w:ind w:left="1778" w:hanging="360"/>
      </w:pPr>
      <w:rPr>
        <w:rFonts w:ascii="Arial" w:eastAsia="Times New Roman" w:hAnsi="Arial" w:cs="Arial" w:hint="default"/>
      </w:rPr>
    </w:lvl>
    <w:lvl w:ilvl="1" w:tplc="08070003" w:tentative="1">
      <w:start w:val="1"/>
      <w:numFmt w:val="bullet"/>
      <w:lvlText w:val="o"/>
      <w:lvlJc w:val="left"/>
      <w:pPr>
        <w:ind w:left="2498" w:hanging="360"/>
      </w:pPr>
      <w:rPr>
        <w:rFonts w:ascii="Courier New" w:hAnsi="Courier New" w:cs="Courier New" w:hint="default"/>
      </w:rPr>
    </w:lvl>
    <w:lvl w:ilvl="2" w:tplc="08070005" w:tentative="1">
      <w:start w:val="1"/>
      <w:numFmt w:val="bullet"/>
      <w:lvlText w:val=""/>
      <w:lvlJc w:val="left"/>
      <w:pPr>
        <w:ind w:left="3218" w:hanging="360"/>
      </w:pPr>
      <w:rPr>
        <w:rFonts w:ascii="Wingdings" w:hAnsi="Wingdings" w:hint="default"/>
      </w:rPr>
    </w:lvl>
    <w:lvl w:ilvl="3" w:tplc="08070001" w:tentative="1">
      <w:start w:val="1"/>
      <w:numFmt w:val="bullet"/>
      <w:lvlText w:val=""/>
      <w:lvlJc w:val="left"/>
      <w:pPr>
        <w:ind w:left="3938" w:hanging="360"/>
      </w:pPr>
      <w:rPr>
        <w:rFonts w:ascii="Symbol" w:hAnsi="Symbol" w:hint="default"/>
      </w:rPr>
    </w:lvl>
    <w:lvl w:ilvl="4" w:tplc="08070003" w:tentative="1">
      <w:start w:val="1"/>
      <w:numFmt w:val="bullet"/>
      <w:lvlText w:val="o"/>
      <w:lvlJc w:val="left"/>
      <w:pPr>
        <w:ind w:left="4658" w:hanging="360"/>
      </w:pPr>
      <w:rPr>
        <w:rFonts w:ascii="Courier New" w:hAnsi="Courier New" w:cs="Courier New" w:hint="default"/>
      </w:rPr>
    </w:lvl>
    <w:lvl w:ilvl="5" w:tplc="08070005" w:tentative="1">
      <w:start w:val="1"/>
      <w:numFmt w:val="bullet"/>
      <w:lvlText w:val=""/>
      <w:lvlJc w:val="left"/>
      <w:pPr>
        <w:ind w:left="5378" w:hanging="360"/>
      </w:pPr>
      <w:rPr>
        <w:rFonts w:ascii="Wingdings" w:hAnsi="Wingdings" w:hint="default"/>
      </w:rPr>
    </w:lvl>
    <w:lvl w:ilvl="6" w:tplc="08070001" w:tentative="1">
      <w:start w:val="1"/>
      <w:numFmt w:val="bullet"/>
      <w:lvlText w:val=""/>
      <w:lvlJc w:val="left"/>
      <w:pPr>
        <w:ind w:left="6098" w:hanging="360"/>
      </w:pPr>
      <w:rPr>
        <w:rFonts w:ascii="Symbol" w:hAnsi="Symbol" w:hint="default"/>
      </w:rPr>
    </w:lvl>
    <w:lvl w:ilvl="7" w:tplc="08070003" w:tentative="1">
      <w:start w:val="1"/>
      <w:numFmt w:val="bullet"/>
      <w:lvlText w:val="o"/>
      <w:lvlJc w:val="left"/>
      <w:pPr>
        <w:ind w:left="6818" w:hanging="360"/>
      </w:pPr>
      <w:rPr>
        <w:rFonts w:ascii="Courier New" w:hAnsi="Courier New" w:cs="Courier New" w:hint="default"/>
      </w:rPr>
    </w:lvl>
    <w:lvl w:ilvl="8" w:tplc="08070005" w:tentative="1">
      <w:start w:val="1"/>
      <w:numFmt w:val="bullet"/>
      <w:lvlText w:val=""/>
      <w:lvlJc w:val="left"/>
      <w:pPr>
        <w:ind w:left="7538" w:hanging="360"/>
      </w:pPr>
      <w:rPr>
        <w:rFonts w:ascii="Wingdings" w:hAnsi="Wingdings" w:hint="default"/>
      </w:rPr>
    </w:lvl>
  </w:abstractNum>
  <w:abstractNum w:abstractNumId="26" w15:restartNumberingAfterBreak="0">
    <w:nsid w:val="73B9548C"/>
    <w:multiLevelType w:val="multilevel"/>
    <w:tmpl w:val="B784B8C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7" w15:restartNumberingAfterBreak="0">
    <w:nsid w:val="779908B4"/>
    <w:multiLevelType w:val="multilevel"/>
    <w:tmpl w:val="6E8435AC"/>
    <w:lvl w:ilvl="0">
      <w:start w:val="1"/>
      <w:numFmt w:val="bullet"/>
      <w:lvlText w:val=""/>
      <w:lvlJc w:val="left"/>
      <w:pPr>
        <w:tabs>
          <w:tab w:val="num" w:pos="720"/>
        </w:tabs>
        <w:ind w:left="720" w:hanging="360"/>
      </w:pPr>
      <w:rPr>
        <w:rFonts w:ascii="Symbol" w:hAnsi="Symbol" w:hint="default"/>
        <w:color w:val="auto"/>
        <w:sz w:val="16"/>
      </w:rPr>
    </w:lvl>
    <w:lvl w:ilvl="1">
      <w:start w:val="1"/>
      <w:numFmt w:val="lowerLetter"/>
      <w:lvlText w:val="%2)"/>
      <w:lvlJc w:val="left"/>
      <w:pPr>
        <w:tabs>
          <w:tab w:val="num" w:pos="1080"/>
        </w:tabs>
        <w:ind w:left="1080" w:hanging="360"/>
      </w:pPr>
      <w:rPr>
        <w:rFonts w:hint="default"/>
      </w:rPr>
    </w:lvl>
    <w:lvl w:ilvl="2">
      <w:start w:val="1"/>
      <w:numFmt w:val="none"/>
      <w:lvlText w:val="%3-"/>
      <w:lvlJc w:val="left"/>
      <w:pPr>
        <w:tabs>
          <w:tab w:val="num" w:pos="1440"/>
        </w:tabs>
        <w:ind w:left="1440" w:hanging="360"/>
      </w:pPr>
      <w:rPr>
        <w:rFonts w:hint="default"/>
      </w:rPr>
    </w:lvl>
    <w:lvl w:ilvl="3">
      <w:start w:val="1"/>
      <w:numFmt w:val="none"/>
      <w:lvlText w:val="-"/>
      <w:lvlJc w:val="left"/>
      <w:pPr>
        <w:tabs>
          <w:tab w:val="num" w:pos="1800"/>
        </w:tabs>
        <w:ind w:left="1800" w:hanging="360"/>
      </w:pPr>
      <w:rPr>
        <w:rFonts w:hint="default"/>
      </w:rPr>
    </w:lvl>
    <w:lvl w:ilvl="4">
      <w:start w:val="1"/>
      <w:numFmt w:val="none"/>
      <w:lvlText w:val=""/>
      <w:lvlJc w:val="left"/>
      <w:pPr>
        <w:tabs>
          <w:tab w:val="num" w:pos="2160"/>
        </w:tabs>
        <w:ind w:left="2160" w:hanging="360"/>
      </w:pPr>
      <w:rPr>
        <w:rFonts w:hint="default"/>
      </w:rPr>
    </w:lvl>
    <w:lvl w:ilvl="5">
      <w:start w:val="1"/>
      <w:numFmt w:val="none"/>
      <w:lvlText w:val="(%6)"/>
      <w:lvlJc w:val="left"/>
      <w:pPr>
        <w:tabs>
          <w:tab w:val="num" w:pos="2520"/>
        </w:tabs>
        <w:ind w:left="2520" w:hanging="360"/>
      </w:pPr>
      <w:rPr>
        <w:rFonts w:hint="default"/>
      </w:rPr>
    </w:lvl>
    <w:lvl w:ilvl="6">
      <w:start w:val="1"/>
      <w:numFmt w:val="none"/>
      <w:lvlText w:val="%7."/>
      <w:lvlJc w:val="left"/>
      <w:pPr>
        <w:tabs>
          <w:tab w:val="num" w:pos="2880"/>
        </w:tabs>
        <w:ind w:left="2880" w:hanging="360"/>
      </w:pPr>
      <w:rPr>
        <w:rFonts w:hint="default"/>
      </w:rPr>
    </w:lvl>
    <w:lvl w:ilvl="7">
      <w:start w:val="1"/>
      <w:numFmt w:val="none"/>
      <w:lvlText w:val="%8."/>
      <w:lvlJc w:val="left"/>
      <w:pPr>
        <w:tabs>
          <w:tab w:val="num" w:pos="3240"/>
        </w:tabs>
        <w:ind w:left="3240" w:hanging="360"/>
      </w:pPr>
      <w:rPr>
        <w:rFonts w:hint="default"/>
      </w:rPr>
    </w:lvl>
    <w:lvl w:ilvl="8">
      <w:start w:val="1"/>
      <w:numFmt w:val="none"/>
      <w:lvlText w:val="%9."/>
      <w:lvlJc w:val="left"/>
      <w:pPr>
        <w:tabs>
          <w:tab w:val="num" w:pos="3600"/>
        </w:tabs>
        <w:ind w:left="3600" w:hanging="360"/>
      </w:pPr>
      <w:rPr>
        <w:rFonts w:hint="default"/>
      </w:rPr>
    </w:lvl>
  </w:abstractNum>
  <w:num w:numId="1">
    <w:abstractNumId w:val="26"/>
  </w:num>
  <w:num w:numId="2">
    <w:abstractNumId w:val="21"/>
  </w:num>
  <w:num w:numId="3">
    <w:abstractNumId w:val="6"/>
  </w:num>
  <w:num w:numId="4">
    <w:abstractNumId w:val="7"/>
  </w:num>
  <w:num w:numId="5">
    <w:abstractNumId w:val="11"/>
  </w:num>
  <w:num w:numId="6">
    <w:abstractNumId w:val="10"/>
  </w:num>
  <w:num w:numId="7">
    <w:abstractNumId w:val="4"/>
  </w:num>
  <w:num w:numId="8">
    <w:abstractNumId w:val="27"/>
  </w:num>
  <w:num w:numId="9">
    <w:abstractNumId w:val="12"/>
  </w:num>
  <w:num w:numId="10">
    <w:abstractNumId w:val="5"/>
  </w:num>
  <w:num w:numId="11">
    <w:abstractNumId w:val="3"/>
  </w:num>
  <w:num w:numId="12">
    <w:abstractNumId w:val="19"/>
  </w:num>
  <w:num w:numId="13">
    <w:abstractNumId w:val="9"/>
  </w:num>
  <w:num w:numId="14">
    <w:abstractNumId w:val="16"/>
  </w:num>
  <w:num w:numId="15">
    <w:abstractNumId w:val="1"/>
  </w:num>
  <w:num w:numId="16">
    <w:abstractNumId w:val="15"/>
  </w:num>
  <w:num w:numId="17">
    <w:abstractNumId w:val="20"/>
  </w:num>
  <w:num w:numId="18">
    <w:abstractNumId w:val="17"/>
  </w:num>
  <w:num w:numId="19">
    <w:abstractNumId w:val="24"/>
  </w:num>
  <w:num w:numId="20">
    <w:abstractNumId w:val="18"/>
  </w:num>
  <w:num w:numId="21">
    <w:abstractNumId w:val="23"/>
  </w:num>
  <w:num w:numId="22">
    <w:abstractNumId w:val="0"/>
  </w:num>
  <w:num w:numId="23">
    <w:abstractNumId w:val="8"/>
  </w:num>
  <w:num w:numId="24">
    <w:abstractNumId w:val="2"/>
  </w:num>
  <w:num w:numId="25">
    <w:abstractNumId w:val="13"/>
  </w:num>
  <w:num w:numId="26">
    <w:abstractNumId w:val="22"/>
  </w:num>
  <w:num w:numId="27">
    <w:abstractNumId w:val="1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ABB"/>
    <w:rsid w:val="00000BE7"/>
    <w:rsid w:val="000E5258"/>
    <w:rsid w:val="000E7FB8"/>
    <w:rsid w:val="001A67C2"/>
    <w:rsid w:val="002B1246"/>
    <w:rsid w:val="0030432B"/>
    <w:rsid w:val="00323838"/>
    <w:rsid w:val="00381B45"/>
    <w:rsid w:val="004A2E08"/>
    <w:rsid w:val="005103B2"/>
    <w:rsid w:val="0059050F"/>
    <w:rsid w:val="005B75DB"/>
    <w:rsid w:val="005F0684"/>
    <w:rsid w:val="006764A1"/>
    <w:rsid w:val="00685AB9"/>
    <w:rsid w:val="006B5769"/>
    <w:rsid w:val="006E68FF"/>
    <w:rsid w:val="00765C6E"/>
    <w:rsid w:val="00803450"/>
    <w:rsid w:val="00863E97"/>
    <w:rsid w:val="008D42BE"/>
    <w:rsid w:val="00973ABB"/>
    <w:rsid w:val="009C1D52"/>
    <w:rsid w:val="009F13FD"/>
    <w:rsid w:val="00A0756C"/>
    <w:rsid w:val="00A447D8"/>
    <w:rsid w:val="00B93794"/>
    <w:rsid w:val="00BE327B"/>
    <w:rsid w:val="00C0679C"/>
    <w:rsid w:val="00C1725E"/>
    <w:rsid w:val="00C26BD8"/>
    <w:rsid w:val="00CA6D6D"/>
    <w:rsid w:val="00CB20AD"/>
    <w:rsid w:val="00D70783"/>
    <w:rsid w:val="00D8574F"/>
    <w:rsid w:val="00D86421"/>
    <w:rsid w:val="00DD4ED9"/>
    <w:rsid w:val="00DD5B9D"/>
    <w:rsid w:val="00E62808"/>
    <w:rsid w:val="00E713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4C6C8"/>
  <w15:docId w15:val="{2E20DB27-2876-4B17-AE13-C4A21207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color w:val="000000"/>
      <w:lang w:val="de-DE" w:eastAsia="de-DE"/>
    </w:rPr>
  </w:style>
  <w:style w:type="paragraph" w:styleId="berschrift1">
    <w:name w:val="heading 1"/>
    <w:basedOn w:val="Standard"/>
    <w:next w:val="Standard"/>
    <w:pPr>
      <w:keepNext/>
      <w:spacing w:after="240"/>
      <w:outlineLvl w:val="0"/>
    </w:pPr>
    <w:rPr>
      <w:b/>
      <w:color w:val="auto"/>
      <w:kern w:val="28"/>
      <w:sz w:val="24"/>
    </w:rPr>
  </w:style>
  <w:style w:type="paragraph" w:styleId="berschrift2">
    <w:name w:val="heading 2"/>
    <w:basedOn w:val="Standard"/>
    <w:next w:val="Standard"/>
    <w:pPr>
      <w:keepNext/>
      <w:spacing w:after="180"/>
      <w:outlineLvl w:val="1"/>
    </w:pPr>
    <w:rPr>
      <w:b/>
      <w:color w:val="auto"/>
    </w:rPr>
  </w:style>
  <w:style w:type="paragraph" w:styleId="berschrift3">
    <w:name w:val="heading 3"/>
    <w:basedOn w:val="Standard"/>
    <w:next w:val="Standard"/>
    <w:pPr>
      <w:keepNext/>
      <w:spacing w:after="120"/>
      <w:outlineLvl w:val="2"/>
    </w:pPr>
    <w:rPr>
      <w:b/>
      <w:color w:val="auto"/>
    </w:rPr>
  </w:style>
  <w:style w:type="paragraph" w:styleId="berschrift4">
    <w:name w:val="heading 4"/>
    <w:basedOn w:val="Standard"/>
    <w:next w:val="Standard"/>
    <w:pPr>
      <w:keepNext/>
      <w:spacing w:after="120"/>
      <w:outlineLvl w:val="3"/>
    </w:pPr>
    <w:rPr>
      <w:b/>
      <w:i/>
      <w:color w:val="auto"/>
    </w:rPr>
  </w:style>
  <w:style w:type="paragraph" w:styleId="berschrift5">
    <w:name w:val="heading 5"/>
    <w:basedOn w:val="Standard"/>
    <w:next w:val="Standard"/>
    <w:pPr>
      <w:spacing w:before="240" w:after="60"/>
      <w:outlineLvl w:val="4"/>
    </w:pPr>
    <w:rPr>
      <w:i/>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pPr>
      <w:tabs>
        <w:tab w:val="center" w:pos="4536"/>
        <w:tab w:val="right" w:pos="9072"/>
      </w:tabs>
    </w:pPr>
    <w:rPr>
      <w:color w:val="auto"/>
    </w:rPr>
  </w:style>
  <w:style w:type="paragraph" w:styleId="Titel">
    <w:name w:val="Title"/>
    <w:aliases w:val="BB Titel"/>
    <w:basedOn w:val="Standard"/>
    <w:qFormat/>
    <w:pPr>
      <w:spacing w:before="240" w:after="60"/>
    </w:pPr>
    <w:rPr>
      <w:b/>
      <w:color w:val="auto"/>
      <w:kern w:val="28"/>
      <w:sz w:val="36"/>
    </w:r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emiHidden/>
  </w:style>
  <w:style w:type="paragraph" w:styleId="Untertitel">
    <w:name w:val="Subtitle"/>
    <w:basedOn w:val="Standard"/>
    <w:rPr>
      <w:b/>
      <w:bCs/>
    </w:rPr>
  </w:style>
  <w:style w:type="paragraph" w:styleId="Textkrper">
    <w:name w:val="Body Text"/>
    <w:basedOn w:val="Standard"/>
    <w:semiHidden/>
    <w:rPr>
      <w:sz w:val="24"/>
    </w:rPr>
  </w:style>
  <w:style w:type="paragraph" w:styleId="Textkrper-Zeileneinzug">
    <w:name w:val="Body Text Indent"/>
    <w:basedOn w:val="Standard"/>
    <w:semiHidden/>
    <w:pPr>
      <w:tabs>
        <w:tab w:val="left" w:pos="709"/>
        <w:tab w:val="left" w:pos="2694"/>
      </w:tabs>
      <w:ind w:left="360"/>
    </w:pPr>
    <w:rPr>
      <w:sz w:val="24"/>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color w:val="000000"/>
      <w:sz w:val="16"/>
      <w:szCs w:val="16"/>
      <w:lang w:val="de-DE" w:eastAsia="de-DE"/>
    </w:rPr>
  </w:style>
  <w:style w:type="paragraph" w:customStyle="1" w:styleId="BBberschrift3">
    <w:name w:val="BB Überschrift_3"/>
    <w:basedOn w:val="Standard"/>
    <w:uiPriority w:val="99"/>
    <w:qFormat/>
    <w:rsid w:val="00D86421"/>
    <w:pPr>
      <w:numPr>
        <w:ilvl w:val="2"/>
        <w:numId w:val="18"/>
      </w:numPr>
      <w:overflowPunct/>
      <w:autoSpaceDE/>
      <w:autoSpaceDN/>
      <w:adjustRightInd/>
      <w:spacing w:after="120" w:line="276" w:lineRule="auto"/>
      <w:ind w:left="709" w:hanging="709"/>
      <w:contextualSpacing/>
      <w:textAlignment w:val="auto"/>
    </w:pPr>
    <w:rPr>
      <w:b/>
    </w:rPr>
  </w:style>
  <w:style w:type="paragraph" w:customStyle="1" w:styleId="BBberschrift2">
    <w:name w:val="BB Überschrift_2"/>
    <w:basedOn w:val="Standard"/>
    <w:uiPriority w:val="99"/>
    <w:qFormat/>
    <w:rsid w:val="00D86421"/>
    <w:pPr>
      <w:numPr>
        <w:ilvl w:val="1"/>
        <w:numId w:val="18"/>
      </w:numPr>
      <w:overflowPunct/>
      <w:autoSpaceDE/>
      <w:autoSpaceDN/>
      <w:adjustRightInd/>
      <w:spacing w:after="180" w:line="276" w:lineRule="auto"/>
      <w:ind w:left="709" w:hanging="709"/>
      <w:contextualSpacing/>
      <w:textAlignment w:val="auto"/>
    </w:pPr>
    <w:rPr>
      <w:b/>
      <w:sz w:val="22"/>
    </w:rPr>
  </w:style>
  <w:style w:type="paragraph" w:customStyle="1" w:styleId="BBberschrift1">
    <w:name w:val="BB Überschrift_1"/>
    <w:basedOn w:val="Standard"/>
    <w:uiPriority w:val="99"/>
    <w:qFormat/>
    <w:rsid w:val="00D86421"/>
    <w:pPr>
      <w:numPr>
        <w:numId w:val="18"/>
      </w:numPr>
      <w:overflowPunct/>
      <w:autoSpaceDE/>
      <w:autoSpaceDN/>
      <w:adjustRightInd/>
      <w:spacing w:before="120" w:after="240" w:line="276" w:lineRule="auto"/>
      <w:ind w:left="709" w:hanging="709"/>
      <w:contextualSpacing/>
      <w:textAlignment w:val="auto"/>
    </w:pPr>
    <w:rPr>
      <w:b/>
      <w:sz w:val="24"/>
    </w:rPr>
  </w:style>
  <w:style w:type="paragraph" w:styleId="KeinLeerraum">
    <w:name w:val="No Spacing"/>
    <w:uiPriority w:val="1"/>
    <w:rsid w:val="001A67C2"/>
    <w:pPr>
      <w:overflowPunct w:val="0"/>
      <w:autoSpaceDE w:val="0"/>
      <w:autoSpaceDN w:val="0"/>
      <w:adjustRightInd w:val="0"/>
      <w:textAlignment w:val="baseline"/>
    </w:pPr>
    <w:rPr>
      <w:rFonts w:ascii="Arial" w:hAnsi="Arial"/>
      <w:color w:val="000000"/>
      <w:lang w:val="de-DE" w:eastAsia="de-DE"/>
    </w:rPr>
  </w:style>
  <w:style w:type="character" w:styleId="IntensiveHervorhebung">
    <w:name w:val="Intense Emphasis"/>
    <w:basedOn w:val="Absatz-Standardschriftart"/>
    <w:uiPriority w:val="21"/>
    <w:rsid w:val="001A67C2"/>
    <w:rPr>
      <w:b/>
      <w:bCs/>
      <w:i/>
      <w:iCs/>
      <w:color w:val="4F81BD" w:themeColor="accent1"/>
    </w:rPr>
  </w:style>
  <w:style w:type="paragraph" w:styleId="Zitat">
    <w:name w:val="Quote"/>
    <w:basedOn w:val="Standard"/>
    <w:next w:val="Standard"/>
    <w:link w:val="ZitatZchn"/>
    <w:uiPriority w:val="29"/>
    <w:rsid w:val="001A67C2"/>
    <w:rPr>
      <w:i/>
      <w:iCs/>
      <w:color w:val="000000" w:themeColor="text1"/>
    </w:rPr>
  </w:style>
  <w:style w:type="character" w:customStyle="1" w:styleId="ZitatZchn">
    <w:name w:val="Zitat Zchn"/>
    <w:basedOn w:val="Absatz-Standardschriftart"/>
    <w:link w:val="Zitat"/>
    <w:uiPriority w:val="29"/>
    <w:rsid w:val="001A67C2"/>
    <w:rPr>
      <w:rFonts w:ascii="Arial" w:hAnsi="Arial"/>
      <w:i/>
      <w:iCs/>
      <w:color w:val="000000" w:themeColor="text1"/>
      <w:lang w:val="de-DE" w:eastAsia="de-DE"/>
    </w:rPr>
  </w:style>
  <w:style w:type="paragraph" w:styleId="IntensivesZitat">
    <w:name w:val="Intense Quote"/>
    <w:basedOn w:val="Standard"/>
    <w:next w:val="Standard"/>
    <w:link w:val="IntensivesZitatZchn"/>
    <w:uiPriority w:val="30"/>
    <w:rsid w:val="001A67C2"/>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1A67C2"/>
    <w:rPr>
      <w:rFonts w:ascii="Arial" w:hAnsi="Arial"/>
      <w:b/>
      <w:bCs/>
      <w:i/>
      <w:iCs/>
      <w:color w:val="4F81BD" w:themeColor="accent1"/>
      <w:lang w:val="de-DE" w:eastAsia="de-DE"/>
    </w:rPr>
  </w:style>
  <w:style w:type="character" w:customStyle="1" w:styleId="FuzeileZchn">
    <w:name w:val="Fußzeile Zchn"/>
    <w:basedOn w:val="Absatz-Standardschriftart"/>
    <w:link w:val="Fuzeile"/>
    <w:rsid w:val="00E62808"/>
    <w:rPr>
      <w:rFonts w:ascii="Arial" w:hAnsi="Arial"/>
      <w:color w:val="000000"/>
      <w:lang w:val="de-DE" w:eastAsia="de-DE"/>
    </w:rPr>
  </w:style>
  <w:style w:type="paragraph" w:customStyle="1" w:styleId="Default">
    <w:name w:val="Default"/>
    <w:rsid w:val="005103B2"/>
    <w:pPr>
      <w:autoSpaceDE w:val="0"/>
      <w:autoSpaceDN w:val="0"/>
      <w:adjustRightInd w:val="0"/>
    </w:pPr>
    <w:rPr>
      <w:rFonts w:ascii="Arial" w:eastAsiaTheme="minorEastAsia" w:hAnsi="Arial" w:cs="Arial"/>
      <w:color w:val="000000"/>
      <w:sz w:val="24"/>
      <w:szCs w:val="24"/>
      <w:lang w:eastAsia="de-DE"/>
    </w:rPr>
  </w:style>
  <w:style w:type="character" w:customStyle="1" w:styleId="KopfzeileZchn">
    <w:name w:val="Kopfzeile Zchn"/>
    <w:basedOn w:val="Absatz-Standardschriftart"/>
    <w:link w:val="Kopfzeile"/>
    <w:uiPriority w:val="99"/>
    <w:locked/>
    <w:rsid w:val="00D70783"/>
    <w:rPr>
      <w:rFonts w:ascii="Arial" w:hAnsi="Aria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7418F-3F59-4BD0-BFB4-DBAAF013C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1865</Words>
  <Characters>11260</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Formular A4 hoch</vt:lpstr>
    </vt:vector>
  </TitlesOfParts>
  <Company>Inselspital Bern</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A4 hoch</dc:title>
  <dc:creator>Jost, Therese</dc:creator>
  <cp:lastModifiedBy>Prof. Dr. med. Nicolas Bonadies</cp:lastModifiedBy>
  <cp:revision>5</cp:revision>
  <cp:lastPrinted>2018-04-04T08:56:00Z</cp:lastPrinted>
  <dcterms:created xsi:type="dcterms:W3CDTF">2022-06-03T17:34:00Z</dcterms:created>
  <dcterms:modified xsi:type="dcterms:W3CDTF">2025-09-04T07:58:00Z</dcterms:modified>
</cp:coreProperties>
</file>