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69BD" w14:textId="77777777" w:rsidR="00DA3616" w:rsidRPr="00903B92" w:rsidRDefault="00E637E5">
      <w:pPr>
        <w:tabs>
          <w:tab w:val="left" w:pos="5529"/>
        </w:tabs>
        <w:spacing w:line="360" w:lineRule="exact"/>
        <w:jc w:val="both"/>
        <w:rPr>
          <w:rFonts w:cs="Arial"/>
          <w:b/>
          <w:sz w:val="36"/>
        </w:rPr>
      </w:pPr>
      <w:r>
        <w:rPr>
          <w:rFonts w:cs="Arial"/>
          <w:b/>
          <w:sz w:val="36"/>
        </w:rPr>
        <w:t xml:space="preserve">Bone marrow aspiration and trephine biopsy Information for patients </w:t>
      </w:r>
    </w:p>
    <w:p w14:paraId="065E6463" w14:textId="77777777" w:rsidR="00DA3616" w:rsidRPr="00903B92" w:rsidRDefault="00DA3616">
      <w:pPr>
        <w:tabs>
          <w:tab w:val="left" w:pos="5529"/>
        </w:tabs>
        <w:spacing w:line="360" w:lineRule="exact"/>
        <w:jc w:val="both"/>
        <w:rPr>
          <w:rFonts w:cs="Arial"/>
          <w:b/>
          <w:sz w:val="24"/>
        </w:rPr>
      </w:pPr>
    </w:p>
    <w:p w14:paraId="6E3DCCA7" w14:textId="77777777" w:rsidR="00DA3616" w:rsidRPr="00903B92" w:rsidRDefault="00E637E5">
      <w:pPr>
        <w:tabs>
          <w:tab w:val="left" w:pos="5529"/>
        </w:tabs>
        <w:spacing w:line="360" w:lineRule="exact"/>
        <w:ind w:right="-289"/>
        <w:jc w:val="both"/>
        <w:rPr>
          <w:rFonts w:cs="Arial"/>
          <w:sz w:val="20"/>
        </w:rPr>
      </w:pPr>
      <w:r>
        <w:rPr>
          <w:rFonts w:cs="Arial"/>
          <w:sz w:val="20"/>
        </w:rPr>
        <w:t>W</w:t>
      </w:r>
      <w:r w:rsidR="00AE7A56" w:rsidRPr="00903B92">
        <w:rPr>
          <w:rFonts w:cs="Arial"/>
          <w:sz w:val="20"/>
        </w:rPr>
        <w:t xml:space="preserve">e would like to inform you about the course of the planned procedure and the possible risks. Please bring </w:t>
      </w:r>
      <w:r>
        <w:rPr>
          <w:rFonts w:cs="Arial"/>
          <w:sz w:val="20"/>
        </w:rPr>
        <w:t xml:space="preserve">this sheet with you the </w:t>
      </w:r>
      <w:r w:rsidR="00AE7A56" w:rsidRPr="00903B92">
        <w:rPr>
          <w:rFonts w:cs="Arial"/>
          <w:sz w:val="20"/>
        </w:rPr>
        <w:t>examination</w:t>
      </w:r>
      <w:r>
        <w:rPr>
          <w:rFonts w:cs="Arial"/>
          <w:sz w:val="20"/>
        </w:rPr>
        <w:t>’s day</w:t>
      </w:r>
      <w:r w:rsidR="00AE7A56" w:rsidRPr="00903B92">
        <w:rPr>
          <w:rFonts w:cs="Arial"/>
          <w:sz w:val="20"/>
        </w:rPr>
        <w:t xml:space="preserve"> and</w:t>
      </w:r>
      <w:r>
        <w:rPr>
          <w:rFonts w:cs="Arial"/>
          <w:sz w:val="20"/>
        </w:rPr>
        <w:t xml:space="preserve"> do not hesitate to </w:t>
      </w:r>
      <w:r w:rsidR="00092BD2">
        <w:rPr>
          <w:rFonts w:cs="Arial"/>
          <w:sz w:val="20"/>
        </w:rPr>
        <w:t xml:space="preserve">contact us if you have any </w:t>
      </w:r>
      <w:r w:rsidR="00693140">
        <w:rPr>
          <w:rFonts w:cs="Arial"/>
          <w:sz w:val="20"/>
        </w:rPr>
        <w:t>question</w:t>
      </w:r>
      <w:r w:rsidR="00AE7A56" w:rsidRPr="00903B92">
        <w:rPr>
          <w:rFonts w:cs="Arial"/>
          <w:sz w:val="20"/>
        </w:rPr>
        <w:t>.</w:t>
      </w:r>
    </w:p>
    <w:p w14:paraId="53E126B1" w14:textId="77777777" w:rsidR="00DA3616" w:rsidRPr="00903B92" w:rsidRDefault="00DA3616">
      <w:pPr>
        <w:tabs>
          <w:tab w:val="left" w:pos="5529"/>
        </w:tabs>
        <w:spacing w:line="360" w:lineRule="exact"/>
        <w:jc w:val="both"/>
        <w:rPr>
          <w:rFonts w:cs="Arial"/>
          <w:b/>
          <w:sz w:val="24"/>
        </w:rPr>
      </w:pPr>
    </w:p>
    <w:p w14:paraId="7F96303C" w14:textId="77777777" w:rsidR="00DA3616" w:rsidRPr="00903B92" w:rsidRDefault="00AE7A56">
      <w:pPr>
        <w:tabs>
          <w:tab w:val="left" w:pos="5529"/>
        </w:tabs>
        <w:spacing w:line="360" w:lineRule="exact"/>
        <w:rPr>
          <w:rFonts w:cs="Arial"/>
          <w:sz w:val="20"/>
        </w:rPr>
      </w:pPr>
      <w:r w:rsidRPr="00903B92">
        <w:rPr>
          <w:rFonts w:cs="Arial"/>
          <w:b/>
          <w:sz w:val="20"/>
        </w:rPr>
        <w:t>Why do I need this procedure?</w:t>
      </w:r>
    </w:p>
    <w:p w14:paraId="3FC56921" w14:textId="77777777" w:rsidR="00DA3616" w:rsidRPr="00903B92" w:rsidRDefault="00AE7A56">
      <w:pPr>
        <w:tabs>
          <w:tab w:val="left" w:pos="5529"/>
        </w:tabs>
        <w:spacing w:line="360" w:lineRule="exact"/>
        <w:ind w:right="-289"/>
        <w:jc w:val="both"/>
        <w:rPr>
          <w:rFonts w:cs="Arial"/>
          <w:sz w:val="20"/>
        </w:rPr>
      </w:pPr>
      <w:r w:rsidRPr="00903B92">
        <w:rPr>
          <w:rFonts w:cs="Arial"/>
          <w:sz w:val="20"/>
        </w:rPr>
        <w:t xml:space="preserve">Because of your discomfort and clinical findings, there is suspicion of a disease of the haematopoietic system. The blood formation takes place in the bone marrow and in order to be able to make a diagnosis, the examination of the bone marrow is necessary. There is no other method for this, the peripheral blood tests can only supplement the information obtained from the bone marrow. </w:t>
      </w:r>
    </w:p>
    <w:p w14:paraId="135EF03B" w14:textId="77777777" w:rsidR="00DA3616" w:rsidRPr="00903B92" w:rsidRDefault="00DA3616">
      <w:pPr>
        <w:tabs>
          <w:tab w:val="left" w:pos="5529"/>
        </w:tabs>
        <w:spacing w:line="360" w:lineRule="exact"/>
        <w:ind w:right="-289"/>
        <w:jc w:val="both"/>
        <w:rPr>
          <w:rFonts w:cs="Arial"/>
          <w:sz w:val="20"/>
        </w:rPr>
      </w:pPr>
    </w:p>
    <w:p w14:paraId="3C32C7B9" w14:textId="77777777" w:rsidR="00DA3616" w:rsidRPr="00903B92" w:rsidRDefault="00AE7A56">
      <w:pPr>
        <w:tabs>
          <w:tab w:val="left" w:pos="5529"/>
        </w:tabs>
        <w:spacing w:line="360" w:lineRule="exact"/>
        <w:ind w:right="-289"/>
        <w:jc w:val="both"/>
        <w:rPr>
          <w:rFonts w:cs="Arial"/>
          <w:sz w:val="20"/>
        </w:rPr>
      </w:pPr>
      <w:r w:rsidRPr="00903B92">
        <w:rPr>
          <w:rFonts w:cs="Arial"/>
          <w:sz w:val="20"/>
        </w:rPr>
        <w:t>During the examination</w:t>
      </w:r>
      <w:r w:rsidR="00903B92" w:rsidRPr="00903B92">
        <w:rPr>
          <w:rFonts w:cs="Arial"/>
          <w:sz w:val="20"/>
        </w:rPr>
        <w:t>,</w:t>
      </w:r>
      <w:r w:rsidRPr="00903B92">
        <w:rPr>
          <w:rFonts w:cs="Arial"/>
          <w:sz w:val="20"/>
        </w:rPr>
        <w:t xml:space="preserve"> several samples can be taken simultaneously for different tests. In this case, we distinguished between the bone marrow fluid (aspirat</w:t>
      </w:r>
      <w:r w:rsidR="00903B92">
        <w:rPr>
          <w:rFonts w:cs="Arial"/>
          <w:sz w:val="20"/>
        </w:rPr>
        <w:t>e</w:t>
      </w:r>
      <w:r w:rsidRPr="00903B92">
        <w:rPr>
          <w:rFonts w:cs="Arial"/>
          <w:sz w:val="20"/>
        </w:rPr>
        <w:t xml:space="preserve">) and the bone cylinder (biopsy). The tests include a microscopic examination of the aspirate (cytology) and a histological examination of the biopsy (histology). These can also be </w:t>
      </w:r>
      <w:r w:rsidR="00693140">
        <w:rPr>
          <w:rFonts w:cs="Arial"/>
          <w:sz w:val="20"/>
        </w:rPr>
        <w:t xml:space="preserve">supplemented by further studies </w:t>
      </w:r>
      <w:r w:rsidRPr="00903B92">
        <w:rPr>
          <w:rFonts w:cs="Arial"/>
          <w:sz w:val="20"/>
        </w:rPr>
        <w:t>which can investigate cell surface components (immunophenotyping) and chromosomal (cytogenetics) as well as genetic changes (molecular diagnostics). For the genetic examinations (cytogenetics and molecular diagnostics), occasionally an additional consent is required. Further consent is required if you provide samples for research purposes.</w:t>
      </w:r>
    </w:p>
    <w:p w14:paraId="0324D835" w14:textId="77777777" w:rsidR="00DA3616" w:rsidRPr="00903B92" w:rsidRDefault="00DA3616">
      <w:pPr>
        <w:tabs>
          <w:tab w:val="left" w:pos="5529"/>
        </w:tabs>
        <w:spacing w:line="360" w:lineRule="exact"/>
        <w:ind w:right="-289"/>
        <w:jc w:val="both"/>
        <w:rPr>
          <w:rFonts w:cs="Arial"/>
          <w:sz w:val="20"/>
        </w:rPr>
      </w:pPr>
    </w:p>
    <w:p w14:paraId="37870E1F" w14:textId="77777777" w:rsidR="00DA3616" w:rsidRPr="00903B92" w:rsidRDefault="00AE7A56">
      <w:pPr>
        <w:tabs>
          <w:tab w:val="left" w:pos="5529"/>
        </w:tabs>
        <w:spacing w:line="360" w:lineRule="exact"/>
        <w:ind w:right="-289"/>
        <w:jc w:val="both"/>
        <w:rPr>
          <w:rFonts w:cs="Arial"/>
          <w:sz w:val="20"/>
        </w:rPr>
      </w:pPr>
      <w:r w:rsidRPr="00903B92">
        <w:rPr>
          <w:rFonts w:cs="Arial"/>
          <w:sz w:val="20"/>
        </w:rPr>
        <w:t>Based on these examinations, the nature of your disease can be assessed and the additional examinations make it possible to assess the possible course and therapy response. Bone marrow punctures are, however, also carried out in order to be able to assess the response to an initiated treatment. Other therapeutic decisions may be dependent on this. For selected therapies, regular punctures are necessary, both during therapy and for the follow-up. Your doctor will inform you if this is necessary.</w:t>
      </w:r>
    </w:p>
    <w:p w14:paraId="53357CD3" w14:textId="77777777" w:rsidR="00DA3616" w:rsidRPr="00903B92" w:rsidRDefault="00DA3616">
      <w:pPr>
        <w:tabs>
          <w:tab w:val="left" w:pos="5529"/>
        </w:tabs>
        <w:spacing w:line="360" w:lineRule="exact"/>
        <w:jc w:val="both"/>
        <w:rPr>
          <w:rFonts w:cs="Arial"/>
          <w:b/>
          <w:sz w:val="20"/>
        </w:rPr>
      </w:pPr>
    </w:p>
    <w:p w14:paraId="46029906" w14:textId="77777777" w:rsidR="00DA3616" w:rsidRPr="00903B92" w:rsidRDefault="00AE7A56">
      <w:pPr>
        <w:rPr>
          <w:rFonts w:cs="Arial"/>
          <w:b/>
          <w:sz w:val="20"/>
        </w:rPr>
      </w:pPr>
      <w:r w:rsidRPr="00903B92">
        <w:rPr>
          <w:rFonts w:cs="Arial"/>
          <w:b/>
          <w:sz w:val="20"/>
        </w:rPr>
        <w:t>How is the procedure performed?</w:t>
      </w:r>
    </w:p>
    <w:p w14:paraId="6CB54402" w14:textId="77777777" w:rsidR="00DA3616" w:rsidRPr="00903B92" w:rsidRDefault="00AE7A56">
      <w:pPr>
        <w:tabs>
          <w:tab w:val="left" w:pos="5529"/>
        </w:tabs>
        <w:spacing w:line="360" w:lineRule="exact"/>
        <w:ind w:right="-289"/>
        <w:jc w:val="both"/>
        <w:rPr>
          <w:rFonts w:cs="Arial"/>
          <w:sz w:val="20"/>
        </w:rPr>
      </w:pPr>
      <w:r w:rsidRPr="00903B92">
        <w:rPr>
          <w:rFonts w:cs="Arial"/>
          <w:sz w:val="20"/>
        </w:rPr>
        <w:t xml:space="preserve">The examination takes 30 to 45 minutes and is carried out in a prone or side position. After injecting a local anaesthetic in the pelvic area, a special hollow needle is inserted up to the bone. This is largely painless because of the local anaesthesia. Bone marrow blood is drawn with a syringe (aspirate) to examine the bone marrow cells. This can lead to a short, severe </w:t>
      </w:r>
      <w:r w:rsidR="0052348A" w:rsidRPr="00903B92">
        <w:rPr>
          <w:rFonts w:cs="Arial"/>
          <w:sz w:val="20"/>
        </w:rPr>
        <w:t>intense</w:t>
      </w:r>
      <w:r w:rsidRPr="00903B92">
        <w:rPr>
          <w:rFonts w:cs="Arial"/>
          <w:sz w:val="20"/>
        </w:rPr>
        <w:t xml:space="preserve"> pain due to the negative pressure created during drawing the blood, as the nerves within the bone are irritated and cannot be anaesthetised by local anaesthesia.</w:t>
      </w:r>
    </w:p>
    <w:p w14:paraId="00FEEFD9" w14:textId="77777777" w:rsidR="00DA3616" w:rsidRPr="00903B92" w:rsidRDefault="00AE7A56">
      <w:pPr>
        <w:tabs>
          <w:tab w:val="left" w:pos="5529"/>
        </w:tabs>
        <w:spacing w:line="360" w:lineRule="exact"/>
        <w:ind w:right="-289"/>
        <w:jc w:val="both"/>
        <w:rPr>
          <w:rFonts w:cs="Arial"/>
          <w:sz w:val="20"/>
        </w:rPr>
      </w:pPr>
      <w:r w:rsidRPr="00903B92">
        <w:rPr>
          <w:rFonts w:cs="Arial"/>
          <w:sz w:val="20"/>
        </w:rPr>
        <w:br w:type="page"/>
      </w:r>
    </w:p>
    <w:p w14:paraId="4F4419B2" w14:textId="77777777" w:rsidR="00DA3616" w:rsidRPr="00903B92" w:rsidRDefault="00AE7A56">
      <w:pPr>
        <w:tabs>
          <w:tab w:val="left" w:pos="5529"/>
        </w:tabs>
        <w:spacing w:line="360" w:lineRule="exact"/>
        <w:ind w:right="-289"/>
        <w:jc w:val="both"/>
        <w:rPr>
          <w:rFonts w:cs="Arial"/>
          <w:sz w:val="20"/>
        </w:rPr>
      </w:pPr>
      <w:r w:rsidRPr="00903B92">
        <w:rPr>
          <w:rFonts w:cs="Arial"/>
          <w:sz w:val="20"/>
        </w:rPr>
        <w:lastRenderedPageBreak/>
        <w:t>A bone cylinder is then removed (biopsy) with the same needle. This process is largely painless. The introduction of the cutting cylinder to obtain the sample can be perceived as unpleasant or slightly painful. The removal of several bone cylinders is rarely necessary.</w:t>
      </w:r>
    </w:p>
    <w:p w14:paraId="029A8E8C" w14:textId="77777777" w:rsidR="00DA3616" w:rsidRPr="00903B92" w:rsidRDefault="00DA3616">
      <w:pPr>
        <w:tabs>
          <w:tab w:val="left" w:pos="5529"/>
        </w:tabs>
        <w:spacing w:line="360" w:lineRule="exact"/>
        <w:ind w:right="-289"/>
        <w:jc w:val="both"/>
        <w:rPr>
          <w:rFonts w:cs="Arial"/>
          <w:sz w:val="20"/>
        </w:rPr>
      </w:pPr>
    </w:p>
    <w:p w14:paraId="7E5B375E" w14:textId="77777777" w:rsidR="00DA3616" w:rsidRDefault="00AE7A56" w:rsidP="00EA449C">
      <w:pPr>
        <w:tabs>
          <w:tab w:val="left" w:pos="5529"/>
        </w:tabs>
        <w:spacing w:line="360" w:lineRule="exact"/>
        <w:ind w:right="-289"/>
        <w:jc w:val="both"/>
        <w:rPr>
          <w:rFonts w:cs="Arial"/>
          <w:sz w:val="20"/>
        </w:rPr>
      </w:pPr>
      <w:r w:rsidRPr="00903B92">
        <w:rPr>
          <w:rFonts w:cs="Arial"/>
          <w:sz w:val="20"/>
        </w:rPr>
        <w:t xml:space="preserve">If you are very afraid or are concerned about this pain, we can also administer a painkiller and a mild sleeping aid through the vein. This should be discussed with your doctor beforehand, as this requires special planning. In this case, </w:t>
      </w:r>
      <w:r w:rsidR="00EA449C">
        <w:rPr>
          <w:rFonts w:cs="Arial"/>
          <w:sz w:val="20"/>
        </w:rPr>
        <w:t>a</w:t>
      </w:r>
      <w:r w:rsidR="00EA449C" w:rsidRPr="00EA449C">
        <w:rPr>
          <w:rFonts w:cs="Arial"/>
          <w:sz w:val="20"/>
        </w:rPr>
        <w:t>fter the procedure you will need to sleep off the effects of the sedation</w:t>
      </w:r>
      <w:r w:rsidR="00EA449C">
        <w:rPr>
          <w:rFonts w:cs="Arial"/>
          <w:sz w:val="20"/>
        </w:rPr>
        <w:t xml:space="preserve"> and </w:t>
      </w:r>
      <w:r w:rsidR="00EA449C" w:rsidRPr="00EA449C">
        <w:rPr>
          <w:rFonts w:cs="Arial"/>
          <w:sz w:val="20"/>
        </w:rPr>
        <w:t>for safety</w:t>
      </w:r>
      <w:r w:rsidR="00EA449C">
        <w:rPr>
          <w:rFonts w:cs="Arial"/>
          <w:sz w:val="20"/>
        </w:rPr>
        <w:t xml:space="preserve"> reason</w:t>
      </w:r>
      <w:r w:rsidR="00EA449C" w:rsidRPr="00EA449C">
        <w:rPr>
          <w:rFonts w:cs="Arial"/>
          <w:sz w:val="20"/>
        </w:rPr>
        <w:t xml:space="preserve"> </w:t>
      </w:r>
      <w:r w:rsidRPr="00903B92">
        <w:rPr>
          <w:rFonts w:cs="Arial"/>
          <w:sz w:val="20"/>
        </w:rPr>
        <w:t xml:space="preserve">you are not allowed to </w:t>
      </w:r>
      <w:r w:rsidR="008A64B5">
        <w:rPr>
          <w:rFonts w:cs="Arial"/>
          <w:sz w:val="20"/>
        </w:rPr>
        <w:t>drive</w:t>
      </w:r>
      <w:r w:rsidRPr="00903B92">
        <w:rPr>
          <w:rFonts w:cs="Arial"/>
          <w:sz w:val="20"/>
        </w:rPr>
        <w:t xml:space="preserve"> the whole day or </w:t>
      </w:r>
      <w:r w:rsidR="008A64B5">
        <w:rPr>
          <w:rFonts w:cs="Arial"/>
          <w:sz w:val="20"/>
        </w:rPr>
        <w:t xml:space="preserve">to operate machinery or drink alcohol until the next day. </w:t>
      </w:r>
    </w:p>
    <w:p w14:paraId="0C681F4B" w14:textId="77777777" w:rsidR="00C70F3E" w:rsidRPr="00903B92" w:rsidRDefault="00C70F3E" w:rsidP="00EA449C">
      <w:pPr>
        <w:tabs>
          <w:tab w:val="left" w:pos="5529"/>
        </w:tabs>
        <w:spacing w:line="360" w:lineRule="exact"/>
        <w:ind w:right="-289"/>
        <w:jc w:val="both"/>
        <w:rPr>
          <w:rFonts w:cs="Arial"/>
          <w:b/>
          <w:sz w:val="20"/>
        </w:rPr>
      </w:pPr>
    </w:p>
    <w:p w14:paraId="11853A52" w14:textId="77777777" w:rsidR="00DA3616" w:rsidRPr="00903B92" w:rsidRDefault="00AE7A56">
      <w:pPr>
        <w:tabs>
          <w:tab w:val="left" w:pos="5529"/>
        </w:tabs>
        <w:spacing w:line="360" w:lineRule="exact"/>
        <w:jc w:val="both"/>
        <w:rPr>
          <w:rFonts w:cs="Arial"/>
          <w:b/>
          <w:sz w:val="20"/>
        </w:rPr>
      </w:pPr>
      <w:r w:rsidRPr="00903B92">
        <w:rPr>
          <w:rFonts w:cs="Arial"/>
          <w:b/>
          <w:sz w:val="20"/>
        </w:rPr>
        <w:t>What are the risks associated with the procedure?</w:t>
      </w:r>
    </w:p>
    <w:p w14:paraId="3F1B0680" w14:textId="77777777" w:rsidR="00DA3616" w:rsidRPr="00903B92" w:rsidRDefault="00AE7A56">
      <w:pPr>
        <w:tabs>
          <w:tab w:val="left" w:pos="5529"/>
        </w:tabs>
        <w:spacing w:line="360" w:lineRule="exact"/>
        <w:ind w:right="-289"/>
        <w:jc w:val="both"/>
        <w:rPr>
          <w:rFonts w:cs="Arial"/>
          <w:sz w:val="20"/>
        </w:rPr>
      </w:pPr>
      <w:r w:rsidRPr="00903B92">
        <w:rPr>
          <w:rFonts w:cs="Arial"/>
          <w:sz w:val="20"/>
        </w:rPr>
        <w:t>Bone marrow puncture is a generally low-risk routine procedure. In our clinic, it is a standard examination and we carry out hundreds of them every year. The most common inconvenience is the local pain (as in case of a bruise), which, however, should subsides after 24-48h. For this purpose, you can also take a painkiller such as Paracetamol (e.g.</w:t>
      </w:r>
      <m:oMath>
        <m:r>
          <w:rPr>
            <w:rFonts w:ascii="Cambria Math" w:hAnsi="Cambria Math" w:cs="Arial"/>
            <w:sz w:val="20"/>
          </w:rPr>
          <m:t>®</m:t>
        </m:r>
      </m:oMath>
      <w:r w:rsidRPr="00903B92">
        <w:rPr>
          <w:rFonts w:cs="Arial"/>
          <w:sz w:val="20"/>
        </w:rPr>
        <w:t xml:space="preserve"> Dafalgan 500-1000g). If the pain persists or radiates in the leg, inform your doctor.</w:t>
      </w:r>
    </w:p>
    <w:p w14:paraId="0AD52482" w14:textId="77777777" w:rsidR="00DA3616" w:rsidRPr="00903B92" w:rsidRDefault="00DA3616">
      <w:pPr>
        <w:tabs>
          <w:tab w:val="left" w:pos="5529"/>
        </w:tabs>
        <w:spacing w:line="360" w:lineRule="exact"/>
        <w:ind w:right="-289"/>
        <w:jc w:val="both"/>
        <w:rPr>
          <w:rFonts w:cs="Arial"/>
          <w:sz w:val="20"/>
        </w:rPr>
      </w:pPr>
    </w:p>
    <w:p w14:paraId="2DE6580F" w14:textId="77777777" w:rsidR="00DA3616" w:rsidRPr="00903B92" w:rsidRDefault="00AE7A56">
      <w:pPr>
        <w:tabs>
          <w:tab w:val="left" w:pos="5529"/>
        </w:tabs>
        <w:spacing w:line="360" w:lineRule="exact"/>
        <w:ind w:right="-289"/>
        <w:jc w:val="both"/>
        <w:rPr>
          <w:rFonts w:cs="Arial"/>
          <w:sz w:val="20"/>
        </w:rPr>
      </w:pPr>
      <w:r w:rsidRPr="00903B92">
        <w:rPr>
          <w:rFonts w:cs="Arial"/>
          <w:sz w:val="20"/>
        </w:rPr>
        <w:t>In individual cases the following complications may occur.</w:t>
      </w:r>
    </w:p>
    <w:p w14:paraId="78CD0034" w14:textId="77777777" w:rsidR="00DA3616" w:rsidRPr="00903B92" w:rsidRDefault="00AE7A56">
      <w:pPr>
        <w:pStyle w:val="Listenabsatz"/>
        <w:numPr>
          <w:ilvl w:val="0"/>
          <w:numId w:val="2"/>
        </w:numPr>
        <w:tabs>
          <w:tab w:val="left" w:pos="5529"/>
        </w:tabs>
        <w:spacing w:line="360" w:lineRule="exact"/>
        <w:ind w:right="-289"/>
        <w:jc w:val="both"/>
        <w:rPr>
          <w:rFonts w:cs="Arial"/>
          <w:sz w:val="20"/>
        </w:rPr>
      </w:pPr>
      <w:r w:rsidRPr="00903B92">
        <w:rPr>
          <w:rFonts w:cs="Arial"/>
          <w:sz w:val="20"/>
        </w:rPr>
        <w:t xml:space="preserve">Rare: bruises, bleeding or infections at the puncture site, which usually do not require treatment. </w:t>
      </w:r>
    </w:p>
    <w:p w14:paraId="6B8DB30A" w14:textId="77777777" w:rsidR="00DA3616" w:rsidRPr="00903B92" w:rsidRDefault="00AE7A56">
      <w:pPr>
        <w:pStyle w:val="Listenabsatz"/>
        <w:numPr>
          <w:ilvl w:val="0"/>
          <w:numId w:val="2"/>
        </w:numPr>
        <w:tabs>
          <w:tab w:val="left" w:pos="5529"/>
        </w:tabs>
        <w:spacing w:line="360" w:lineRule="exact"/>
        <w:ind w:right="-289"/>
        <w:jc w:val="both"/>
        <w:rPr>
          <w:rFonts w:cs="Arial"/>
          <w:sz w:val="20"/>
        </w:rPr>
      </w:pPr>
      <w:r w:rsidRPr="00903B92">
        <w:rPr>
          <w:rFonts w:cs="Arial"/>
          <w:sz w:val="20"/>
        </w:rPr>
        <w:t>Extremely rare: Injury of adjacent organs (nerve tissue, intestine) through the puncture needle and material defects.</w:t>
      </w:r>
    </w:p>
    <w:p w14:paraId="361A730E" w14:textId="77777777" w:rsidR="00DA3616" w:rsidRPr="00903B92" w:rsidRDefault="00DA3616">
      <w:pPr>
        <w:tabs>
          <w:tab w:val="left" w:pos="5529"/>
        </w:tabs>
        <w:spacing w:line="360" w:lineRule="exact"/>
        <w:jc w:val="both"/>
        <w:rPr>
          <w:rFonts w:cs="Arial"/>
          <w:b/>
          <w:sz w:val="20"/>
        </w:rPr>
      </w:pPr>
    </w:p>
    <w:p w14:paraId="2FBCB3A2" w14:textId="77777777" w:rsidR="00DA3616" w:rsidRPr="00903B92" w:rsidRDefault="00AE7A56">
      <w:pPr>
        <w:tabs>
          <w:tab w:val="left" w:pos="5529"/>
        </w:tabs>
        <w:spacing w:line="360" w:lineRule="exact"/>
        <w:jc w:val="both"/>
        <w:rPr>
          <w:rFonts w:cs="Arial"/>
          <w:b/>
          <w:sz w:val="20"/>
        </w:rPr>
      </w:pPr>
      <w:r w:rsidRPr="00903B92">
        <w:rPr>
          <w:rFonts w:cs="Arial"/>
          <w:b/>
          <w:sz w:val="20"/>
        </w:rPr>
        <w:t>How should I behave after procedure?</w:t>
      </w:r>
    </w:p>
    <w:p w14:paraId="754415A1" w14:textId="77777777" w:rsidR="00DA3616" w:rsidRPr="00903B92" w:rsidRDefault="00AE7A56">
      <w:pPr>
        <w:tabs>
          <w:tab w:val="left" w:pos="5529"/>
        </w:tabs>
        <w:spacing w:line="360" w:lineRule="exact"/>
        <w:ind w:right="-289"/>
        <w:jc w:val="both"/>
        <w:rPr>
          <w:rFonts w:cs="Arial"/>
          <w:sz w:val="20"/>
        </w:rPr>
      </w:pPr>
      <w:r w:rsidRPr="00903B92">
        <w:rPr>
          <w:rFonts w:cs="Arial"/>
          <w:sz w:val="20"/>
        </w:rPr>
        <w:t xml:space="preserve">After the procedure, you should lie on your back for 15 to 30 minutes so that pressure can be applied to the wound. In addition, the wound should be </w:t>
      </w:r>
      <w:r w:rsidR="00EA449C">
        <w:rPr>
          <w:rFonts w:cs="Arial"/>
          <w:sz w:val="20"/>
        </w:rPr>
        <w:t>covered</w:t>
      </w:r>
      <w:r w:rsidRPr="00903B92">
        <w:rPr>
          <w:rFonts w:cs="Arial"/>
          <w:sz w:val="20"/>
        </w:rPr>
        <w:t xml:space="preserve"> for at least 3-5 days and until wound closure. If unusual pain occurs during the course (see above), please contact your doctor or the haematologist. If you have pain in the area or took sleeping aids, you are not allowed to steer any vehicles the whole day or carry out any activities associated with a risk of falling.</w:t>
      </w:r>
    </w:p>
    <w:p w14:paraId="4FFEC224" w14:textId="77777777" w:rsidR="00DA3616" w:rsidRPr="00903B92" w:rsidRDefault="00AE7A56">
      <w:pPr>
        <w:rPr>
          <w:rFonts w:cs="Arial"/>
          <w:b/>
          <w:sz w:val="20"/>
          <w:u w:val="single"/>
        </w:rPr>
      </w:pPr>
      <w:r w:rsidRPr="00903B92">
        <w:rPr>
          <w:rFonts w:cs="Arial"/>
          <w:b/>
          <w:sz w:val="20"/>
          <w:u w:val="single"/>
        </w:rPr>
        <w:br w:type="page"/>
      </w:r>
    </w:p>
    <w:p w14:paraId="7B6AB445" w14:textId="77777777" w:rsidR="00DA3616" w:rsidRPr="00903B92" w:rsidRDefault="00AE7A56">
      <w:pPr>
        <w:pStyle w:val="Default"/>
      </w:pPr>
      <w:r w:rsidRPr="00903B92">
        <w:rPr>
          <w:noProof/>
          <w:lang w:val="de-CH" w:eastAsia="de-CH"/>
        </w:rPr>
        <w:lastRenderedPageBreak/>
        <mc:AlternateContent>
          <mc:Choice Requires="wps">
            <w:drawing>
              <wp:anchor distT="0" distB="0" distL="114300" distR="114300" simplePos="0" relativeHeight="251659264" behindDoc="0" locked="0" layoutInCell="1" allowOverlap="1" wp14:anchorId="4D45F5D2" wp14:editId="0FF446FE">
                <wp:simplePos x="0" y="0"/>
                <wp:positionH relativeFrom="column">
                  <wp:posOffset>3532505</wp:posOffset>
                </wp:positionH>
                <wp:positionV relativeFrom="paragraph">
                  <wp:posOffset>-301625</wp:posOffset>
                </wp:positionV>
                <wp:extent cx="2508250" cy="1244600"/>
                <wp:effectExtent l="0" t="0" r="25400" b="12700"/>
                <wp:wrapNone/>
                <wp:docPr id="1" name="Rechteck 1"/>
                <wp:cNvGraphicFramePr/>
                <a:graphic xmlns:a="http://schemas.openxmlformats.org/drawingml/2006/main">
                  <a:graphicData uri="http://schemas.microsoft.com/office/word/2010/wordprocessingShape">
                    <wps:wsp>
                      <wps:cNvSpPr/>
                      <wps:spPr>
                        <a:xfrm>
                          <a:off x="0" y="0"/>
                          <a:ext cx="2508250" cy="1244600"/>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AF42B" id="Rechteck 1" o:spid="_x0000_s1026" style="position:absolute;margin-left:278.15pt;margin-top:-23.75pt;width:197.5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" fillcolor="white [3212]" strokecolor="black [3213]"/>
            </w:pict>
          </mc:Fallback>
        </mc:AlternateContent>
      </w:r>
    </w:p>
    <w:p w14:paraId="4792A910" w14:textId="77777777" w:rsidR="00DA3616" w:rsidRPr="00903B92" w:rsidRDefault="00DA3616">
      <w:pPr>
        <w:pStyle w:val="Default"/>
      </w:pPr>
    </w:p>
    <w:p w14:paraId="606C972A" w14:textId="77777777" w:rsidR="00DA3616" w:rsidRPr="00903B92" w:rsidRDefault="00DA3616">
      <w:pPr>
        <w:pStyle w:val="Default"/>
      </w:pPr>
    </w:p>
    <w:p w14:paraId="40F0039E" w14:textId="77777777" w:rsidR="00DA3616" w:rsidRPr="00903B92" w:rsidRDefault="00DA3616">
      <w:pPr>
        <w:pStyle w:val="Default"/>
      </w:pPr>
    </w:p>
    <w:p w14:paraId="52C7AAAD" w14:textId="77777777" w:rsidR="00DA3616" w:rsidRPr="00903B92" w:rsidRDefault="00DA3616">
      <w:pPr>
        <w:pStyle w:val="Default"/>
      </w:pPr>
    </w:p>
    <w:p w14:paraId="50EB865D" w14:textId="77777777" w:rsidR="00DA3616" w:rsidRPr="00903B92" w:rsidRDefault="00DA3616">
      <w:pPr>
        <w:pStyle w:val="Default"/>
      </w:pPr>
    </w:p>
    <w:p w14:paraId="768E7D9E" w14:textId="77777777" w:rsidR="00DA3616" w:rsidRPr="00903B92" w:rsidRDefault="00DA3616">
      <w:pPr>
        <w:pStyle w:val="Default"/>
      </w:pPr>
    </w:p>
    <w:p w14:paraId="5375FC73" w14:textId="77777777" w:rsidR="00DA3616" w:rsidRPr="00903B92" w:rsidRDefault="00AE7A56">
      <w:pPr>
        <w:pStyle w:val="Default"/>
        <w:rPr>
          <w:sz w:val="20"/>
        </w:rPr>
      </w:pPr>
      <w:r w:rsidRPr="00903B92">
        <w:rPr>
          <w:sz w:val="20"/>
        </w:rPr>
        <w:t xml:space="preserve">Name </w:t>
      </w:r>
      <w:r w:rsidR="00903B92">
        <w:rPr>
          <w:sz w:val="20"/>
        </w:rPr>
        <w:t xml:space="preserve">and first name of patient: </w:t>
      </w:r>
      <w:r w:rsidR="00903B92">
        <w:rPr>
          <w:sz w:val="20"/>
        </w:rPr>
        <w:br/>
      </w:r>
      <w:r w:rsidRPr="00903B92">
        <w:rPr>
          <w:sz w:val="20"/>
        </w:rPr>
        <w:t xml:space="preserve">Date of birth: </w:t>
      </w:r>
    </w:p>
    <w:p w14:paraId="7062B0E6" w14:textId="77777777" w:rsidR="00DA3616" w:rsidRPr="00903B92" w:rsidRDefault="00DA3616">
      <w:pPr>
        <w:tabs>
          <w:tab w:val="left" w:pos="5529"/>
        </w:tabs>
        <w:spacing w:line="360" w:lineRule="exact"/>
        <w:jc w:val="both"/>
        <w:rPr>
          <w:sz w:val="20"/>
        </w:rPr>
      </w:pPr>
    </w:p>
    <w:p w14:paraId="152961B1" w14:textId="77777777" w:rsidR="00DA3616" w:rsidRPr="00903B92" w:rsidRDefault="00DA3616">
      <w:pPr>
        <w:tabs>
          <w:tab w:val="left" w:pos="5529"/>
        </w:tabs>
        <w:spacing w:line="360" w:lineRule="exact"/>
        <w:jc w:val="both"/>
        <w:rPr>
          <w:sz w:val="20"/>
        </w:rPr>
      </w:pPr>
    </w:p>
    <w:p w14:paraId="6F9579C5" w14:textId="77777777" w:rsidR="00DA3616" w:rsidRPr="00903B92" w:rsidRDefault="00AE7A56">
      <w:pPr>
        <w:tabs>
          <w:tab w:val="left" w:pos="5529"/>
        </w:tabs>
        <w:spacing w:line="360" w:lineRule="exact"/>
        <w:jc w:val="both"/>
        <w:rPr>
          <w:rFonts w:cs="Arial"/>
          <w:b/>
          <w:sz w:val="24"/>
        </w:rPr>
      </w:pPr>
      <w:r w:rsidRPr="00903B92">
        <w:rPr>
          <w:sz w:val="20"/>
        </w:rPr>
        <w:t>________________________________________          ____________________________________</w:t>
      </w:r>
    </w:p>
    <w:p w14:paraId="546D7CCA" w14:textId="77777777" w:rsidR="00DA3616" w:rsidRPr="00903B92" w:rsidRDefault="00DA3616">
      <w:pPr>
        <w:tabs>
          <w:tab w:val="left" w:pos="5529"/>
        </w:tabs>
        <w:spacing w:line="360" w:lineRule="exact"/>
        <w:jc w:val="both"/>
        <w:rPr>
          <w:rFonts w:cs="Arial"/>
          <w:b/>
          <w:sz w:val="24"/>
        </w:rPr>
      </w:pPr>
    </w:p>
    <w:p w14:paraId="075945E6" w14:textId="77777777" w:rsidR="00DA3616" w:rsidRPr="00903B92" w:rsidRDefault="00DA3616">
      <w:pPr>
        <w:tabs>
          <w:tab w:val="left" w:pos="5529"/>
        </w:tabs>
        <w:spacing w:line="360" w:lineRule="exact"/>
        <w:jc w:val="both"/>
        <w:rPr>
          <w:rFonts w:cs="Arial"/>
          <w:b/>
          <w:sz w:val="24"/>
        </w:rPr>
      </w:pPr>
    </w:p>
    <w:p w14:paraId="06DB4D58" w14:textId="77777777" w:rsidR="00DA3616" w:rsidRPr="00903B92" w:rsidRDefault="00AE7A56">
      <w:pPr>
        <w:tabs>
          <w:tab w:val="left" w:pos="5529"/>
        </w:tabs>
        <w:spacing w:line="360" w:lineRule="exact"/>
        <w:jc w:val="both"/>
        <w:rPr>
          <w:rFonts w:cs="Arial"/>
          <w:b/>
          <w:sz w:val="24"/>
        </w:rPr>
      </w:pPr>
      <w:r w:rsidRPr="00903B92">
        <w:rPr>
          <w:rFonts w:cs="Arial"/>
          <w:b/>
          <w:sz w:val="24"/>
        </w:rPr>
        <w:t xml:space="preserve">Declaration of consent for </w:t>
      </w:r>
      <w:r w:rsidR="00C70F3E">
        <w:rPr>
          <w:rFonts w:cs="Arial"/>
          <w:b/>
          <w:sz w:val="24"/>
        </w:rPr>
        <w:t>b</w:t>
      </w:r>
      <w:r w:rsidR="00C70F3E" w:rsidRPr="00C70F3E">
        <w:rPr>
          <w:rFonts w:cs="Arial"/>
          <w:b/>
          <w:sz w:val="24"/>
        </w:rPr>
        <w:t>one marrow aspiration and trephine biopsy</w:t>
      </w:r>
    </w:p>
    <w:p w14:paraId="2632D2B5" w14:textId="77777777" w:rsidR="00DA3616" w:rsidRPr="00903B92" w:rsidRDefault="00DA3616">
      <w:pPr>
        <w:tabs>
          <w:tab w:val="left" w:pos="5529"/>
        </w:tabs>
        <w:spacing w:line="360" w:lineRule="exact"/>
        <w:jc w:val="both"/>
        <w:rPr>
          <w:rFonts w:cs="Arial"/>
          <w:b/>
          <w:sz w:val="24"/>
        </w:rPr>
      </w:pPr>
    </w:p>
    <w:p w14:paraId="06CA23E7" w14:textId="77777777" w:rsidR="00DA3616" w:rsidRPr="00903B92" w:rsidRDefault="00AE7A56">
      <w:pPr>
        <w:spacing w:line="340" w:lineRule="exact"/>
        <w:ind w:right="-289"/>
        <w:jc w:val="both"/>
        <w:rPr>
          <w:rFonts w:cs="Arial"/>
          <w:sz w:val="20"/>
        </w:rPr>
      </w:pPr>
      <w:r w:rsidRPr="00903B92">
        <w:rPr>
          <w:rFonts w:cs="Arial"/>
          <w:sz w:val="20"/>
        </w:rPr>
        <w:t>I, the undersigned patient, hereby declare</w:t>
      </w:r>
    </w:p>
    <w:p w14:paraId="13D00699" w14:textId="77777777" w:rsidR="00DA3616" w:rsidRPr="00903B92" w:rsidRDefault="00DA3616">
      <w:pPr>
        <w:spacing w:line="340" w:lineRule="exact"/>
        <w:ind w:right="-289"/>
        <w:jc w:val="both"/>
        <w:rPr>
          <w:rFonts w:cs="Arial"/>
          <w:sz w:val="20"/>
        </w:rPr>
      </w:pPr>
    </w:p>
    <w:p w14:paraId="2E99DF78" w14:textId="77777777" w:rsidR="00DA3616" w:rsidRPr="00903B92" w:rsidRDefault="00AE7A56">
      <w:pPr>
        <w:spacing w:line="340" w:lineRule="exact"/>
        <w:ind w:right="-289"/>
        <w:jc w:val="both"/>
        <w:rPr>
          <w:rFonts w:cs="Arial"/>
          <w:sz w:val="20"/>
        </w:rPr>
      </w:pPr>
      <w:r w:rsidRPr="00903B92">
        <w:rPr>
          <w:rFonts w:cs="Arial"/>
          <w:sz w:val="20"/>
        </w:rPr>
        <w:t xml:space="preserve">- that I have been informed in a comprehensible manner about the procedure and risks of the examination by the information sheet and the doctor. </w:t>
      </w:r>
    </w:p>
    <w:p w14:paraId="601EC7CC" w14:textId="77777777" w:rsidR="00DA3616" w:rsidRPr="00903B92" w:rsidRDefault="00DA3616">
      <w:pPr>
        <w:spacing w:line="340" w:lineRule="exact"/>
        <w:ind w:right="-289"/>
        <w:jc w:val="both"/>
        <w:rPr>
          <w:rFonts w:cs="Arial"/>
          <w:sz w:val="20"/>
        </w:rPr>
      </w:pPr>
    </w:p>
    <w:p w14:paraId="17E3C8B6" w14:textId="77777777" w:rsidR="00DA3616" w:rsidRPr="00903B92" w:rsidRDefault="00AE7A56">
      <w:pPr>
        <w:spacing w:line="340" w:lineRule="exact"/>
        <w:ind w:right="-289"/>
        <w:jc w:val="both"/>
        <w:rPr>
          <w:rFonts w:cs="Arial"/>
          <w:sz w:val="20"/>
        </w:rPr>
      </w:pPr>
      <w:r w:rsidRPr="00903B92">
        <w:rPr>
          <w:rFonts w:cs="Arial"/>
          <w:sz w:val="20"/>
        </w:rPr>
        <w:t xml:space="preserve">- </w:t>
      </w:r>
      <w:r w:rsidR="008A64B5">
        <w:rPr>
          <w:rFonts w:cs="Arial"/>
          <w:sz w:val="20"/>
        </w:rPr>
        <w:t xml:space="preserve">that I have been informed about the possibility of </w:t>
      </w:r>
      <w:r w:rsidRPr="00903B92">
        <w:rPr>
          <w:rFonts w:cs="Arial"/>
          <w:sz w:val="20"/>
        </w:rPr>
        <w:t>repeated bone marrow punctures in selected cases.</w:t>
      </w:r>
    </w:p>
    <w:p w14:paraId="18979B4D" w14:textId="77777777" w:rsidR="00DA3616" w:rsidRPr="00903B92" w:rsidRDefault="00DA3616">
      <w:pPr>
        <w:spacing w:line="340" w:lineRule="exact"/>
        <w:ind w:right="-289"/>
        <w:jc w:val="both"/>
        <w:rPr>
          <w:rFonts w:cs="Arial"/>
          <w:sz w:val="20"/>
        </w:rPr>
      </w:pPr>
    </w:p>
    <w:p w14:paraId="0B2DA0C2" w14:textId="77777777" w:rsidR="00DA3616" w:rsidRPr="00903B92" w:rsidRDefault="00AE7A56">
      <w:pPr>
        <w:spacing w:line="340" w:lineRule="exact"/>
        <w:ind w:right="-289"/>
        <w:jc w:val="both"/>
        <w:rPr>
          <w:rFonts w:cs="Arial"/>
          <w:sz w:val="20"/>
        </w:rPr>
      </w:pPr>
      <w:r w:rsidRPr="00903B92">
        <w:rPr>
          <w:rFonts w:cs="Arial"/>
          <w:sz w:val="20"/>
        </w:rPr>
        <w:t>- that I have been informed of the possibility of intravenous pain treatment and, in the given case, I will have to avoid driving vehicles or carrying out activities that are associated with a risk of falling.</w:t>
      </w:r>
    </w:p>
    <w:p w14:paraId="707CE666" w14:textId="77777777" w:rsidR="00DA3616" w:rsidRPr="00903B92" w:rsidRDefault="00DA3616">
      <w:pPr>
        <w:spacing w:line="340" w:lineRule="exact"/>
        <w:ind w:right="-289"/>
        <w:jc w:val="both"/>
        <w:rPr>
          <w:rFonts w:cs="Arial"/>
          <w:sz w:val="20"/>
        </w:rPr>
      </w:pPr>
    </w:p>
    <w:p w14:paraId="029FD28A" w14:textId="77777777" w:rsidR="00DA3616" w:rsidRPr="00903B92" w:rsidRDefault="00DA3616">
      <w:pPr>
        <w:spacing w:line="340" w:lineRule="exact"/>
        <w:ind w:right="-289"/>
        <w:jc w:val="both"/>
        <w:rPr>
          <w:rFonts w:cs="Arial"/>
          <w:sz w:val="20"/>
        </w:rPr>
      </w:pPr>
    </w:p>
    <w:p w14:paraId="485CB8CC" w14:textId="77777777" w:rsidR="00DA3616" w:rsidRPr="00903B92" w:rsidRDefault="00C665B1">
      <w:pPr>
        <w:spacing w:line="340" w:lineRule="exact"/>
        <w:ind w:right="-289"/>
        <w:jc w:val="both"/>
        <w:rPr>
          <w:rFonts w:cs="Arial"/>
          <w:sz w:val="20"/>
        </w:rPr>
      </w:pPr>
      <w:r>
        <w:rPr>
          <w:rFonts w:cs="Arial"/>
          <w:sz w:val="20"/>
        </w:rPr>
        <w:t xml:space="preserve">All </w:t>
      </w:r>
      <w:r w:rsidR="00AE7A56" w:rsidRPr="00903B92">
        <w:rPr>
          <w:rFonts w:cs="Arial"/>
          <w:sz w:val="20"/>
        </w:rPr>
        <w:t>my questions in connection with the examination</w:t>
      </w:r>
      <w:r>
        <w:rPr>
          <w:rFonts w:cs="Arial"/>
          <w:sz w:val="20"/>
        </w:rPr>
        <w:t xml:space="preserve"> were answered. I certify that I understand what has been explained to me. </w:t>
      </w:r>
    </w:p>
    <w:p w14:paraId="282A3A96" w14:textId="77777777" w:rsidR="00DA3616" w:rsidRPr="00903B92" w:rsidRDefault="00DA3616">
      <w:pPr>
        <w:spacing w:line="340" w:lineRule="exact"/>
        <w:ind w:right="-289"/>
        <w:jc w:val="both"/>
        <w:rPr>
          <w:rFonts w:cs="Arial"/>
          <w:b/>
          <w:sz w:val="20"/>
        </w:rPr>
      </w:pPr>
    </w:p>
    <w:p w14:paraId="77165A1D" w14:textId="77777777" w:rsidR="00DA3616" w:rsidRPr="00903B92" w:rsidRDefault="00AE7A56">
      <w:pPr>
        <w:spacing w:line="340" w:lineRule="exact"/>
        <w:ind w:right="-288"/>
        <w:jc w:val="both"/>
        <w:rPr>
          <w:rFonts w:cs="Arial"/>
          <w:b/>
          <w:sz w:val="20"/>
        </w:rPr>
      </w:pPr>
      <w:r w:rsidRPr="00903B92">
        <w:rPr>
          <w:rFonts w:cs="Arial" w:hint="eastAsia"/>
          <w:b/>
          <w:sz w:val="20"/>
        </w:rPr>
        <w:t>☐</w:t>
      </w:r>
      <w:r w:rsidRPr="00903B92">
        <w:rPr>
          <w:rFonts w:cs="Arial" w:hint="eastAsia"/>
          <w:b/>
          <w:sz w:val="20"/>
        </w:rPr>
        <w:tab/>
        <w:t xml:space="preserve"> Yes, I agree with the procedure</w:t>
      </w:r>
    </w:p>
    <w:p w14:paraId="2F8C11A2" w14:textId="77777777" w:rsidR="00DA3616" w:rsidRPr="00903B92" w:rsidRDefault="00AE7A56">
      <w:pPr>
        <w:spacing w:line="340" w:lineRule="exact"/>
        <w:ind w:right="-288"/>
        <w:jc w:val="both"/>
        <w:rPr>
          <w:rFonts w:cs="Arial"/>
          <w:b/>
          <w:sz w:val="20"/>
        </w:rPr>
      </w:pPr>
      <w:r w:rsidRPr="00903B92">
        <w:rPr>
          <w:rFonts w:cs="Arial" w:hint="eastAsia"/>
          <w:b/>
          <w:sz w:val="20"/>
        </w:rPr>
        <w:t xml:space="preserve">☐ </w:t>
      </w:r>
      <w:r w:rsidRPr="00903B92">
        <w:rPr>
          <w:rFonts w:cs="Arial" w:hint="eastAsia"/>
          <w:b/>
          <w:sz w:val="20"/>
        </w:rPr>
        <w:tab/>
      </w:r>
      <w:r w:rsidR="00903B92">
        <w:rPr>
          <w:rFonts w:cs="Arial"/>
          <w:b/>
          <w:sz w:val="20"/>
        </w:rPr>
        <w:t xml:space="preserve"> </w:t>
      </w:r>
      <w:r w:rsidRPr="00903B92">
        <w:rPr>
          <w:rFonts w:cs="Arial" w:hint="eastAsia"/>
          <w:b/>
          <w:sz w:val="20"/>
        </w:rPr>
        <w:t>No, I reject this procedure</w:t>
      </w:r>
    </w:p>
    <w:p w14:paraId="2B8D3A83" w14:textId="77777777" w:rsidR="00DA3616" w:rsidRPr="00903B92" w:rsidRDefault="00DA3616">
      <w:pPr>
        <w:spacing w:line="340" w:lineRule="exact"/>
        <w:ind w:right="-288"/>
        <w:jc w:val="both"/>
        <w:rPr>
          <w:rFonts w:cs="Arial"/>
          <w:sz w:val="20"/>
        </w:rPr>
      </w:pPr>
    </w:p>
    <w:p w14:paraId="640A7214" w14:textId="77777777" w:rsidR="00693140" w:rsidRPr="00F349CD" w:rsidRDefault="00693140" w:rsidP="00693140">
      <w:pPr>
        <w:spacing w:line="340" w:lineRule="exact"/>
        <w:ind w:right="-288"/>
        <w:jc w:val="both"/>
        <w:rPr>
          <w:rFonts w:cs="Arial"/>
          <w:bCs/>
          <w:sz w:val="20"/>
          <w:lang w:val="en-US"/>
        </w:rPr>
      </w:pPr>
      <w:r w:rsidRPr="00F349CD">
        <w:rPr>
          <w:rFonts w:cs="Arial"/>
          <w:bCs/>
          <w:sz w:val="20"/>
          <w:lang w:val="en-US"/>
        </w:rPr>
        <w:t>Place/date</w:t>
      </w:r>
      <w:r w:rsidRPr="00F349CD">
        <w:rPr>
          <w:rFonts w:cs="Arial"/>
          <w:bCs/>
          <w:sz w:val="20"/>
          <w:lang w:val="en-US"/>
        </w:rPr>
        <w:tab/>
      </w:r>
      <w:r w:rsidRPr="00F349CD">
        <w:rPr>
          <w:rFonts w:cs="Arial"/>
          <w:bCs/>
          <w:sz w:val="20"/>
          <w:lang w:val="en-US"/>
        </w:rPr>
        <w:tab/>
      </w:r>
      <w:r w:rsidRPr="00F349CD">
        <w:rPr>
          <w:rFonts w:cs="Arial"/>
          <w:bCs/>
          <w:sz w:val="20"/>
          <w:lang w:val="en-US"/>
        </w:rPr>
        <w:tab/>
        <w:t>Signature Patient</w:t>
      </w:r>
      <w:r w:rsidRPr="00F349CD">
        <w:rPr>
          <w:rFonts w:cs="Arial"/>
          <w:bCs/>
          <w:sz w:val="20"/>
          <w:lang w:val="en-US"/>
        </w:rPr>
        <w:tab/>
      </w:r>
      <w:r w:rsidRPr="00F349CD">
        <w:rPr>
          <w:rFonts w:cs="Arial"/>
          <w:bCs/>
          <w:sz w:val="20"/>
          <w:lang w:val="en-US"/>
        </w:rPr>
        <w:tab/>
      </w:r>
      <w:r w:rsidRPr="00F349CD">
        <w:rPr>
          <w:rFonts w:cs="Arial"/>
          <w:bCs/>
          <w:sz w:val="20"/>
          <w:lang w:val="en-US"/>
        </w:rPr>
        <w:tab/>
        <w:t>Signature physician</w:t>
      </w:r>
    </w:p>
    <w:p w14:paraId="7FC755D5" w14:textId="77777777" w:rsidR="00693140" w:rsidRPr="00F349CD" w:rsidRDefault="00693140" w:rsidP="00693140">
      <w:pPr>
        <w:spacing w:line="340" w:lineRule="exact"/>
        <w:ind w:right="-288"/>
        <w:jc w:val="both"/>
        <w:rPr>
          <w:rFonts w:cs="Arial"/>
          <w:bCs/>
          <w:sz w:val="20"/>
          <w:lang w:val="en-US"/>
        </w:rPr>
      </w:pPr>
    </w:p>
    <w:p w14:paraId="1D34D427" w14:textId="77777777" w:rsidR="00693140" w:rsidRPr="000B3EDA" w:rsidRDefault="00693140" w:rsidP="00693140">
      <w:pPr>
        <w:spacing w:line="340" w:lineRule="exact"/>
        <w:jc w:val="both"/>
        <w:rPr>
          <w:rFonts w:cs="Arial"/>
          <w:bCs/>
          <w:sz w:val="20"/>
        </w:rPr>
      </w:pPr>
      <w:r w:rsidRPr="000B3EDA">
        <w:rPr>
          <w:rFonts w:cs="Arial"/>
          <w:bCs/>
          <w:sz w:val="20"/>
        </w:rPr>
        <w:t>________________</w:t>
      </w:r>
      <w:r w:rsidRPr="000B3EDA">
        <w:rPr>
          <w:rFonts w:cs="Arial"/>
          <w:bCs/>
          <w:sz w:val="20"/>
        </w:rPr>
        <w:tab/>
      </w:r>
      <w:r w:rsidRPr="000B3EDA">
        <w:rPr>
          <w:rFonts w:cs="Arial"/>
          <w:bCs/>
          <w:sz w:val="20"/>
        </w:rPr>
        <w:tab/>
        <w:t>_____________________</w:t>
      </w:r>
      <w:r w:rsidRPr="000B3EDA">
        <w:rPr>
          <w:rFonts w:cs="Arial"/>
          <w:bCs/>
          <w:sz w:val="20"/>
        </w:rPr>
        <w:tab/>
      </w:r>
      <w:r w:rsidRPr="000B3EDA">
        <w:rPr>
          <w:rFonts w:cs="Arial"/>
          <w:bCs/>
          <w:sz w:val="20"/>
        </w:rPr>
        <w:tab/>
        <w:t>_____________________</w:t>
      </w:r>
    </w:p>
    <w:p w14:paraId="0EBB94BE" w14:textId="77777777" w:rsidR="00DA3616" w:rsidRPr="00903B92" w:rsidRDefault="00DA3616">
      <w:pPr>
        <w:spacing w:line="340" w:lineRule="exact"/>
        <w:jc w:val="both"/>
        <w:rPr>
          <w:rFonts w:cs="Arial"/>
          <w:sz w:val="20"/>
        </w:rPr>
      </w:pPr>
    </w:p>
    <w:sectPr w:rsidR="00DA3616" w:rsidRPr="00903B92" w:rsidSect="00693140">
      <w:headerReference w:type="even" r:id="rId7"/>
      <w:headerReference w:type="default" r:id="rId8"/>
      <w:footerReference w:type="even" r:id="rId9"/>
      <w:footerReference w:type="default" r:id="rId10"/>
      <w:headerReference w:type="first" r:id="rId11"/>
      <w:footerReference w:type="first" r:id="rId12"/>
      <w:pgSz w:w="11900" w:h="16840"/>
      <w:pgMar w:top="812" w:right="1417" w:bottom="1134" w:left="1417" w:header="708"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CFB7" w14:textId="77777777" w:rsidR="00E31520" w:rsidRDefault="00E31520">
      <w:r>
        <w:separator/>
      </w:r>
    </w:p>
  </w:endnote>
  <w:endnote w:type="continuationSeparator" w:id="0">
    <w:p w14:paraId="69EE8CC8" w14:textId="77777777" w:rsidR="00E31520" w:rsidRDefault="00E3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D6FE" w14:textId="77777777" w:rsidR="00F349CD" w:rsidRDefault="00F349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4" w:type="dxa"/>
      <w:tblLayout w:type="fixed"/>
      <w:tblCellMar>
        <w:left w:w="71" w:type="dxa"/>
        <w:right w:w="71" w:type="dxa"/>
      </w:tblCellMar>
      <w:tblLook w:val="0000" w:firstRow="0" w:lastRow="0" w:firstColumn="0" w:lastColumn="0" w:noHBand="0" w:noVBand="0"/>
    </w:tblPr>
    <w:tblGrid>
      <w:gridCol w:w="3048"/>
      <w:gridCol w:w="1349"/>
      <w:gridCol w:w="1275"/>
      <w:gridCol w:w="1843"/>
      <w:gridCol w:w="1375"/>
      <w:gridCol w:w="644"/>
    </w:tblGrid>
    <w:tr w:rsidR="00DA3616" w14:paraId="023AD4AB" w14:textId="77777777">
      <w:trPr>
        <w:cantSplit/>
      </w:trPr>
      <w:tc>
        <w:tcPr>
          <w:tcW w:w="3048" w:type="dxa"/>
        </w:tcPr>
        <w:p w14:paraId="6CA7A950" w14:textId="77777777" w:rsidR="00DA3616" w:rsidRDefault="00AE7A56">
          <w:pPr>
            <w:pStyle w:val="Fuzeile"/>
            <w:tabs>
              <w:tab w:val="clear" w:pos="4536"/>
              <w:tab w:val="clear" w:pos="9072"/>
              <w:tab w:val="left" w:pos="664"/>
            </w:tabs>
            <w:rPr>
              <w:rFonts w:cs="Arial"/>
              <w:sz w:val="14"/>
            </w:rPr>
          </w:pPr>
          <w:r>
            <w:rPr>
              <w:rFonts w:cs="Arial"/>
              <w:sz w:val="14"/>
            </w:rPr>
            <w:t>File</w:t>
          </w:r>
        </w:p>
      </w:tc>
      <w:tc>
        <w:tcPr>
          <w:tcW w:w="1349" w:type="dxa"/>
        </w:tcPr>
        <w:p w14:paraId="7717567F" w14:textId="77777777" w:rsidR="00DA3616" w:rsidRDefault="00AE7A56">
          <w:pPr>
            <w:pStyle w:val="Fuzeile"/>
            <w:rPr>
              <w:rFonts w:cs="Arial"/>
              <w:sz w:val="14"/>
            </w:rPr>
          </w:pPr>
          <w:r>
            <w:rPr>
              <w:rFonts w:cs="Arial"/>
              <w:sz w:val="14"/>
            </w:rPr>
            <w:t>Name</w:t>
          </w:r>
        </w:p>
      </w:tc>
      <w:tc>
        <w:tcPr>
          <w:tcW w:w="1275" w:type="dxa"/>
        </w:tcPr>
        <w:p w14:paraId="555E50D4" w14:textId="77777777" w:rsidR="00DA3616" w:rsidRDefault="00AE7A56">
          <w:pPr>
            <w:pStyle w:val="Fuzeile"/>
            <w:rPr>
              <w:rFonts w:cs="Arial"/>
              <w:sz w:val="14"/>
            </w:rPr>
          </w:pPr>
          <w:r>
            <w:rPr>
              <w:rFonts w:cs="Arial"/>
              <w:sz w:val="14"/>
            </w:rPr>
            <w:t>Issue date</w:t>
          </w:r>
        </w:p>
      </w:tc>
      <w:tc>
        <w:tcPr>
          <w:tcW w:w="1843" w:type="dxa"/>
        </w:tcPr>
        <w:p w14:paraId="1E4FB740" w14:textId="77777777" w:rsidR="00DA3616" w:rsidRDefault="00AE7A56">
          <w:pPr>
            <w:pStyle w:val="Fuzeile"/>
            <w:rPr>
              <w:rFonts w:cs="Arial"/>
              <w:sz w:val="14"/>
            </w:rPr>
          </w:pPr>
          <w:r>
            <w:rPr>
              <w:rFonts w:cs="Arial"/>
              <w:sz w:val="14"/>
            </w:rPr>
            <w:t>Replaces release dated</w:t>
          </w:r>
        </w:p>
      </w:tc>
      <w:tc>
        <w:tcPr>
          <w:tcW w:w="1375" w:type="dxa"/>
        </w:tcPr>
        <w:p w14:paraId="7335CABE" w14:textId="77777777" w:rsidR="00DA3616" w:rsidRDefault="00AE7A56">
          <w:pPr>
            <w:pStyle w:val="Fuzeile"/>
            <w:rPr>
              <w:rFonts w:cs="Arial"/>
              <w:sz w:val="14"/>
            </w:rPr>
          </w:pPr>
          <w:r>
            <w:rPr>
              <w:rFonts w:cs="Arial"/>
              <w:sz w:val="14"/>
            </w:rPr>
            <w:t>Approval</w:t>
          </w:r>
        </w:p>
      </w:tc>
      <w:tc>
        <w:tcPr>
          <w:tcW w:w="644" w:type="dxa"/>
        </w:tcPr>
        <w:p w14:paraId="71AFD993" w14:textId="77777777" w:rsidR="00DA3616" w:rsidRDefault="00AE7A56">
          <w:pPr>
            <w:pStyle w:val="Fuzeile"/>
            <w:ind w:left="-213" w:firstLine="71"/>
            <w:jc w:val="right"/>
            <w:rPr>
              <w:rFonts w:cs="Arial"/>
              <w:sz w:val="14"/>
            </w:rPr>
          </w:pPr>
          <w:r>
            <w:rPr>
              <w:rFonts w:cs="Arial"/>
              <w:sz w:val="14"/>
            </w:rPr>
            <w:t>Page</w:t>
          </w:r>
        </w:p>
      </w:tc>
    </w:tr>
    <w:tr w:rsidR="00DA3616" w14:paraId="45268544" w14:textId="77777777">
      <w:trPr>
        <w:cantSplit/>
      </w:trPr>
      <w:tc>
        <w:tcPr>
          <w:tcW w:w="3048" w:type="dxa"/>
        </w:tcPr>
        <w:p w14:paraId="25FD45C4" w14:textId="77777777" w:rsidR="00DA3616" w:rsidRDefault="00AE7A56">
          <w:pPr>
            <w:pStyle w:val="Fuzeile"/>
            <w:rPr>
              <w:rFonts w:cs="Arial"/>
              <w:sz w:val="14"/>
            </w:rPr>
          </w:pPr>
          <w:r>
            <w:rPr>
              <w:rFonts w:cs="Arial"/>
              <w:sz w:val="14"/>
            </w:rPr>
            <w:t>PAT Information and Consent KMP</w:t>
          </w:r>
        </w:p>
      </w:tc>
      <w:tc>
        <w:tcPr>
          <w:tcW w:w="1349" w:type="dxa"/>
        </w:tcPr>
        <w:p w14:paraId="006A390A" w14:textId="77777777" w:rsidR="00DA3616" w:rsidRDefault="00AE7A56">
          <w:pPr>
            <w:pStyle w:val="Fuzeile"/>
            <w:rPr>
              <w:rFonts w:cs="Arial"/>
              <w:sz w:val="14"/>
            </w:rPr>
          </w:pPr>
          <w:r>
            <w:rPr>
              <w:rFonts w:cs="Arial"/>
              <w:sz w:val="14"/>
            </w:rPr>
            <w:t>N. Bonadies</w:t>
          </w:r>
        </w:p>
      </w:tc>
      <w:tc>
        <w:tcPr>
          <w:tcW w:w="1275" w:type="dxa"/>
        </w:tcPr>
        <w:p w14:paraId="061AEE08" w14:textId="028488B2" w:rsidR="00DA3616" w:rsidRDefault="00693140">
          <w:pPr>
            <w:pStyle w:val="Fuzeile"/>
            <w:rPr>
              <w:rFonts w:cs="Arial"/>
              <w:sz w:val="14"/>
            </w:rPr>
          </w:pPr>
          <w:r>
            <w:rPr>
              <w:rFonts w:cs="Arial"/>
              <w:sz w:val="14"/>
            </w:rPr>
            <w:t>01.0</w:t>
          </w:r>
          <w:r w:rsidR="00F349CD">
            <w:rPr>
              <w:rFonts w:cs="Arial"/>
              <w:sz w:val="14"/>
            </w:rPr>
            <w:t>1</w:t>
          </w:r>
          <w:r>
            <w:rPr>
              <w:rFonts w:cs="Arial"/>
              <w:sz w:val="14"/>
            </w:rPr>
            <w:t>.202</w:t>
          </w:r>
          <w:r w:rsidR="00F349CD">
            <w:rPr>
              <w:rFonts w:cs="Arial"/>
              <w:sz w:val="14"/>
            </w:rPr>
            <w:t>4</w:t>
          </w:r>
        </w:p>
      </w:tc>
      <w:tc>
        <w:tcPr>
          <w:tcW w:w="1843" w:type="dxa"/>
        </w:tcPr>
        <w:p w14:paraId="522A61A1" w14:textId="77777777" w:rsidR="00DA3616" w:rsidRDefault="00AE7A56">
          <w:pPr>
            <w:pStyle w:val="Fuzeile"/>
            <w:rPr>
              <w:rFonts w:cs="Arial"/>
              <w:sz w:val="14"/>
            </w:rPr>
          </w:pPr>
          <w:r>
            <w:rPr>
              <w:rFonts w:cs="Arial"/>
              <w:sz w:val="14"/>
            </w:rPr>
            <w:t>-</w:t>
          </w:r>
          <w:r w:rsidR="00082DFD">
            <w:rPr>
              <w:rFonts w:cs="Arial"/>
              <w:sz w:val="14"/>
            </w:rPr>
            <w:fldChar w:fldCharType="begin"/>
          </w:r>
          <w:r w:rsidR="00082DFD">
            <w:rPr>
              <w:rFonts w:cs="Arial"/>
              <w:sz w:val="14"/>
            </w:rPr>
            <w:instrText xml:space="preserve">TT.MM.JJJJ </w:instrText>
          </w:r>
          <w:r w:rsidR="00082DFD">
            <w:rPr>
              <w:rFonts w:cs="Arial"/>
              <w:sz w:val="14"/>
            </w:rPr>
            <w:fldChar w:fldCharType="end"/>
          </w:r>
        </w:p>
      </w:tc>
      <w:tc>
        <w:tcPr>
          <w:tcW w:w="1375" w:type="dxa"/>
        </w:tcPr>
        <w:p w14:paraId="3EF02FB8" w14:textId="77777777" w:rsidR="00DA3616" w:rsidRDefault="00693140">
          <w:pPr>
            <w:pStyle w:val="Fuzeile"/>
            <w:rPr>
              <w:rFonts w:cs="Arial"/>
              <w:sz w:val="14"/>
            </w:rPr>
          </w:pPr>
          <w:r>
            <w:rPr>
              <w:rFonts w:cs="Arial"/>
              <w:sz w:val="14"/>
            </w:rPr>
            <w:t>N. Bonadies</w:t>
          </w:r>
        </w:p>
      </w:tc>
      <w:tc>
        <w:tcPr>
          <w:tcW w:w="644" w:type="dxa"/>
        </w:tcPr>
        <w:p w14:paraId="1F637259" w14:textId="77777777" w:rsidR="00DA3616" w:rsidRDefault="00AE7A56">
          <w:pPr>
            <w:pStyle w:val="Fuzeile"/>
            <w:jc w:val="right"/>
            <w:rPr>
              <w:rFonts w:cs="Arial"/>
              <w:sz w:val="14"/>
            </w:rPr>
          </w:pPr>
          <w:r>
            <w:rPr>
              <w:rStyle w:val="Seitenzahl"/>
              <w:rFonts w:cs="Arial"/>
              <w:sz w:val="14"/>
            </w:rPr>
            <w:fldChar w:fldCharType="begin"/>
          </w:r>
          <w:r>
            <w:rPr>
              <w:rStyle w:val="Seitenzahl"/>
              <w:rFonts w:cs="Arial"/>
              <w:sz w:val="14"/>
            </w:rPr>
            <w:instrText xml:space="preserve"> PAGE </w:instrText>
          </w:r>
          <w:r>
            <w:rPr>
              <w:rStyle w:val="Seitenzahl"/>
              <w:rFonts w:cs="Arial"/>
              <w:sz w:val="14"/>
            </w:rPr>
            <w:fldChar w:fldCharType="separate"/>
          </w:r>
          <w:r w:rsidR="00693140">
            <w:rPr>
              <w:rStyle w:val="Seitenzahl"/>
              <w:rFonts w:cs="Arial"/>
              <w:noProof/>
              <w:sz w:val="14"/>
            </w:rPr>
            <w:t>1</w:t>
          </w:r>
          <w:r>
            <w:rPr>
              <w:rStyle w:val="Seitenzahl"/>
              <w:rFonts w:cs="Arial"/>
              <w:sz w:val="14"/>
            </w:rPr>
            <w:fldChar w:fldCharType="end"/>
          </w:r>
          <w:r>
            <w:rPr>
              <w:rStyle w:val="Seitenzahl"/>
              <w:rFonts w:cs="Arial"/>
              <w:sz w:val="14"/>
            </w:rPr>
            <w:t>/</w:t>
          </w:r>
          <w:r>
            <w:rPr>
              <w:rStyle w:val="Seitenzahl"/>
              <w:rFonts w:cs="Arial"/>
              <w:sz w:val="14"/>
            </w:rPr>
            <w:fldChar w:fldCharType="begin"/>
          </w:r>
          <w:r>
            <w:rPr>
              <w:rStyle w:val="Seitenzahl"/>
              <w:rFonts w:cs="Arial"/>
              <w:sz w:val="14"/>
            </w:rPr>
            <w:instrText xml:space="preserve"> NUMPAGES </w:instrText>
          </w:r>
          <w:r>
            <w:rPr>
              <w:rStyle w:val="Seitenzahl"/>
              <w:rFonts w:cs="Arial"/>
              <w:sz w:val="14"/>
            </w:rPr>
            <w:fldChar w:fldCharType="separate"/>
          </w:r>
          <w:r w:rsidR="00693140">
            <w:rPr>
              <w:rStyle w:val="Seitenzahl"/>
              <w:rFonts w:cs="Arial"/>
              <w:noProof/>
              <w:sz w:val="14"/>
            </w:rPr>
            <w:t>3</w:t>
          </w:r>
          <w:r>
            <w:rPr>
              <w:rStyle w:val="Seitenzahl"/>
              <w:rFonts w:cs="Arial"/>
              <w:sz w:val="14"/>
            </w:rPr>
            <w:fldChar w:fldCharType="end"/>
          </w:r>
        </w:p>
      </w:tc>
    </w:tr>
    <w:tr w:rsidR="00693140" w14:paraId="50DAA035" w14:textId="77777777">
      <w:trPr>
        <w:cantSplit/>
      </w:trPr>
      <w:tc>
        <w:tcPr>
          <w:tcW w:w="3048" w:type="dxa"/>
        </w:tcPr>
        <w:p w14:paraId="71D35FBC" w14:textId="77777777" w:rsidR="00693140" w:rsidRDefault="00693140">
          <w:pPr>
            <w:pStyle w:val="Fuzeile"/>
            <w:rPr>
              <w:rFonts w:cs="Arial"/>
              <w:sz w:val="14"/>
            </w:rPr>
          </w:pPr>
        </w:p>
      </w:tc>
      <w:tc>
        <w:tcPr>
          <w:tcW w:w="1349" w:type="dxa"/>
        </w:tcPr>
        <w:p w14:paraId="550CADED" w14:textId="77777777" w:rsidR="00693140" w:rsidRDefault="00693140">
          <w:pPr>
            <w:pStyle w:val="Fuzeile"/>
            <w:rPr>
              <w:rFonts w:cs="Arial"/>
              <w:sz w:val="14"/>
            </w:rPr>
          </w:pPr>
        </w:p>
      </w:tc>
      <w:tc>
        <w:tcPr>
          <w:tcW w:w="1275" w:type="dxa"/>
        </w:tcPr>
        <w:p w14:paraId="62793609" w14:textId="77777777" w:rsidR="00693140" w:rsidRDefault="00693140">
          <w:pPr>
            <w:pStyle w:val="Fuzeile"/>
            <w:rPr>
              <w:rFonts w:cs="Arial"/>
              <w:sz w:val="14"/>
            </w:rPr>
          </w:pPr>
        </w:p>
      </w:tc>
      <w:tc>
        <w:tcPr>
          <w:tcW w:w="1843" w:type="dxa"/>
        </w:tcPr>
        <w:p w14:paraId="5F1AE869" w14:textId="77777777" w:rsidR="00693140" w:rsidRDefault="00693140">
          <w:pPr>
            <w:pStyle w:val="Fuzeile"/>
            <w:rPr>
              <w:rFonts w:cs="Arial"/>
              <w:sz w:val="14"/>
            </w:rPr>
          </w:pPr>
        </w:p>
      </w:tc>
      <w:tc>
        <w:tcPr>
          <w:tcW w:w="1375" w:type="dxa"/>
        </w:tcPr>
        <w:p w14:paraId="2652E8A0" w14:textId="77777777" w:rsidR="00693140" w:rsidRDefault="00693140">
          <w:pPr>
            <w:pStyle w:val="Fuzeile"/>
            <w:rPr>
              <w:rFonts w:cs="Arial"/>
              <w:sz w:val="14"/>
            </w:rPr>
          </w:pPr>
        </w:p>
      </w:tc>
      <w:tc>
        <w:tcPr>
          <w:tcW w:w="644" w:type="dxa"/>
        </w:tcPr>
        <w:p w14:paraId="55B30BDA" w14:textId="77777777" w:rsidR="00693140" w:rsidRDefault="00693140">
          <w:pPr>
            <w:pStyle w:val="Fuzeile"/>
            <w:jc w:val="right"/>
            <w:rPr>
              <w:rStyle w:val="Seitenzahl"/>
              <w:rFonts w:cs="Arial"/>
              <w:sz w:val="14"/>
            </w:rPr>
          </w:pPr>
        </w:p>
      </w:tc>
    </w:tr>
  </w:tbl>
  <w:p w14:paraId="6E40EE50" w14:textId="77777777" w:rsidR="00DA3616" w:rsidRDefault="00DA3616">
    <w:pPr>
      <w:pStyle w:val="Fuzeile"/>
      <w:rPr>
        <w:sz w:val="4"/>
      </w:rPr>
    </w:pPr>
  </w:p>
  <w:p w14:paraId="4C0363D4" w14:textId="77777777" w:rsidR="00DA3616" w:rsidRDefault="00DA3616">
    <w:pPr>
      <w:pStyle w:val="Fuzeile"/>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B772" w14:textId="77777777" w:rsidR="00F349CD" w:rsidRDefault="00F349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3F9D" w14:textId="77777777" w:rsidR="00E31520" w:rsidRDefault="00E31520">
      <w:r>
        <w:separator/>
      </w:r>
    </w:p>
  </w:footnote>
  <w:footnote w:type="continuationSeparator" w:id="0">
    <w:p w14:paraId="00CCE267" w14:textId="77777777" w:rsidR="00E31520" w:rsidRDefault="00E31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2C49" w14:textId="77777777" w:rsidR="00F349CD" w:rsidRDefault="00F349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1" w:rightFromText="141" w:vertAnchor="text" w:tblpY="1"/>
      <w:tblOverlap w:val="never"/>
      <w:tblW w:w="14883"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61"/>
      <w:gridCol w:w="2410"/>
      <w:gridCol w:w="7512"/>
    </w:tblGrid>
    <w:tr w:rsidR="006B5764" w:rsidRPr="00313507" w14:paraId="1424F594" w14:textId="77777777" w:rsidTr="006823AF">
      <w:trPr>
        <w:trHeight w:val="510"/>
      </w:trPr>
      <w:tc>
        <w:tcPr>
          <w:tcW w:w="4961" w:type="dxa"/>
        </w:tcPr>
        <w:p w14:paraId="0CE7B395" w14:textId="33157C2E" w:rsidR="006B5764" w:rsidRDefault="009B266C" w:rsidP="006B5764">
          <w:pPr>
            <w:rPr>
              <w:sz w:val="16"/>
            </w:rPr>
          </w:pPr>
          <w:r>
            <w:rPr>
              <w:noProof/>
            </w:rPr>
            <w:drawing>
              <wp:inline distT="0" distB="0" distL="0" distR="0" wp14:anchorId="5A49BF16" wp14:editId="5A3488AE">
                <wp:extent cx="3150235" cy="789940"/>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235" cy="789940"/>
                        </a:xfrm>
                        <a:prstGeom prst="rect">
                          <a:avLst/>
                        </a:prstGeom>
                        <a:noFill/>
                        <a:ln>
                          <a:noFill/>
                        </a:ln>
                      </pic:spPr>
                    </pic:pic>
                  </a:graphicData>
                </a:graphic>
              </wp:inline>
            </w:drawing>
          </w:r>
        </w:p>
      </w:tc>
      <w:tc>
        <w:tcPr>
          <w:tcW w:w="2410" w:type="dxa"/>
        </w:tcPr>
        <w:p w14:paraId="2FE11A98" w14:textId="77777777" w:rsidR="006B5764" w:rsidRPr="00E73B4A" w:rsidRDefault="006B5764" w:rsidP="006B5764">
          <w:pPr>
            <w:tabs>
              <w:tab w:val="left" w:pos="1843"/>
            </w:tabs>
            <w:contextualSpacing/>
            <w:rPr>
              <w:rFonts w:eastAsiaTheme="majorEastAsia" w:cstheme="minorHAnsi"/>
              <w:b/>
              <w:bCs/>
              <w:noProof/>
              <w:color w:val="432918"/>
              <w:kern w:val="28"/>
              <w:sz w:val="16"/>
              <w:szCs w:val="16"/>
            </w:rPr>
          </w:pPr>
        </w:p>
      </w:tc>
      <w:tc>
        <w:tcPr>
          <w:tcW w:w="7512" w:type="dxa"/>
        </w:tcPr>
        <w:p w14:paraId="69C60D49" w14:textId="77777777" w:rsidR="006B5764" w:rsidRPr="006B5764" w:rsidRDefault="006B5764" w:rsidP="006B5764">
          <w:pPr>
            <w:tabs>
              <w:tab w:val="left" w:pos="1843"/>
            </w:tabs>
            <w:contextualSpacing/>
            <w:rPr>
              <w:rFonts w:asciiTheme="minorHAnsi" w:eastAsiaTheme="majorEastAsia" w:hAnsiTheme="minorHAnsi" w:cstheme="minorHAnsi"/>
              <w:b/>
              <w:bCs/>
              <w:noProof/>
              <w:color w:val="432918"/>
              <w:kern w:val="28"/>
              <w:sz w:val="16"/>
              <w:szCs w:val="16"/>
              <w:lang w:val="de-CH"/>
            </w:rPr>
          </w:pPr>
          <w:r w:rsidRPr="006B5764">
            <w:rPr>
              <w:rFonts w:eastAsiaTheme="majorEastAsia" w:cstheme="minorHAnsi"/>
              <w:b/>
              <w:bCs/>
              <w:noProof/>
              <w:color w:val="432918"/>
              <w:kern w:val="28"/>
              <w:sz w:val="16"/>
              <w:szCs w:val="16"/>
              <w:lang w:val="de-CH"/>
            </w:rPr>
            <w:t>Praxis für Hämatologie und Onkologie</w:t>
          </w:r>
        </w:p>
        <w:p w14:paraId="6DF8A214" w14:textId="77777777" w:rsidR="006B5764" w:rsidRPr="006B5764" w:rsidRDefault="006B5764" w:rsidP="006B5764">
          <w:pPr>
            <w:tabs>
              <w:tab w:val="left" w:pos="1843"/>
            </w:tabs>
            <w:rPr>
              <w:rFonts w:eastAsiaTheme="majorEastAsia" w:cstheme="minorHAnsi"/>
              <w:b/>
              <w:bCs/>
              <w:noProof/>
              <w:color w:val="432918"/>
              <w:kern w:val="28"/>
              <w:sz w:val="16"/>
              <w:szCs w:val="16"/>
              <w:lang w:val="de-CH"/>
            </w:rPr>
          </w:pPr>
          <w:r w:rsidRPr="006B5764">
            <w:rPr>
              <w:rFonts w:eastAsiaTheme="majorEastAsia" w:cstheme="minorHAnsi"/>
              <w:b/>
              <w:bCs/>
              <w:noProof/>
              <w:color w:val="432918"/>
              <w:kern w:val="28"/>
              <w:sz w:val="16"/>
              <w:szCs w:val="16"/>
              <w:lang w:val="de-CH"/>
            </w:rPr>
            <w:t>Prof. Dr. med. Nicolas Bonadies</w:t>
          </w:r>
        </w:p>
        <w:p w14:paraId="766EBD11" w14:textId="77777777" w:rsidR="006B5764" w:rsidRPr="006B5764" w:rsidRDefault="006B5764" w:rsidP="006B5764">
          <w:pPr>
            <w:tabs>
              <w:tab w:val="left" w:pos="1843"/>
            </w:tabs>
            <w:rPr>
              <w:rFonts w:eastAsiaTheme="majorEastAsia" w:cstheme="minorHAnsi"/>
              <w:noProof/>
              <w:color w:val="432918"/>
              <w:kern w:val="28"/>
              <w:sz w:val="16"/>
              <w:szCs w:val="16"/>
              <w:lang w:val="de-CH"/>
            </w:rPr>
          </w:pPr>
          <w:r w:rsidRPr="006B5764">
            <w:rPr>
              <w:rFonts w:eastAsiaTheme="majorEastAsia" w:cstheme="minorHAnsi"/>
              <w:noProof/>
              <w:color w:val="432918"/>
              <w:kern w:val="28"/>
              <w:sz w:val="16"/>
              <w:szCs w:val="16"/>
              <w:lang w:val="de-CH"/>
            </w:rPr>
            <w:t>FMH Hämatologie und Innere Medizin</w:t>
          </w:r>
        </w:p>
        <w:p w14:paraId="11583349" w14:textId="77777777" w:rsidR="006B5764" w:rsidRPr="006B5764" w:rsidRDefault="006B5764" w:rsidP="006B5764">
          <w:pPr>
            <w:tabs>
              <w:tab w:val="left" w:pos="1843"/>
            </w:tabs>
            <w:rPr>
              <w:rFonts w:eastAsiaTheme="majorEastAsia" w:cstheme="minorHAnsi"/>
              <w:noProof/>
              <w:color w:val="432918"/>
              <w:kern w:val="28"/>
              <w:sz w:val="16"/>
              <w:szCs w:val="16"/>
              <w:lang w:val="de-CH"/>
            </w:rPr>
          </w:pPr>
          <w:r w:rsidRPr="006B5764">
            <w:rPr>
              <w:rFonts w:eastAsiaTheme="majorEastAsia" w:cstheme="minorHAnsi"/>
              <w:noProof/>
              <w:color w:val="432918"/>
              <w:kern w:val="28"/>
              <w:sz w:val="16"/>
              <w:szCs w:val="16"/>
              <w:lang w:val="de-CH"/>
            </w:rPr>
            <w:t>FAMH Hämatologische Laboranalytik</w:t>
          </w:r>
        </w:p>
        <w:p w14:paraId="7FB41F9A" w14:textId="77777777" w:rsidR="006B5764" w:rsidRPr="006B5764" w:rsidRDefault="006B5764" w:rsidP="006B5764">
          <w:pPr>
            <w:tabs>
              <w:tab w:val="left" w:pos="1843"/>
            </w:tabs>
            <w:rPr>
              <w:rFonts w:eastAsiaTheme="majorEastAsia" w:cstheme="minorHAnsi"/>
              <w:noProof/>
              <w:color w:val="432918"/>
              <w:kern w:val="28"/>
              <w:sz w:val="16"/>
              <w:szCs w:val="16"/>
              <w:lang w:val="de-CH"/>
            </w:rPr>
          </w:pPr>
          <w:r w:rsidRPr="006B5764">
            <w:rPr>
              <w:rFonts w:eastAsiaTheme="majorEastAsia" w:cstheme="minorHAnsi"/>
              <w:noProof/>
              <w:color w:val="432918"/>
              <w:kern w:val="28"/>
              <w:sz w:val="16"/>
              <w:szCs w:val="16"/>
              <w:lang w:val="de-CH"/>
            </w:rPr>
            <w:t>GLN: 7601000620194</w:t>
          </w:r>
        </w:p>
        <w:p w14:paraId="3C2D5DF7" w14:textId="77777777" w:rsidR="006B5764" w:rsidRPr="006B5764" w:rsidRDefault="006B5764" w:rsidP="006B5764">
          <w:pPr>
            <w:tabs>
              <w:tab w:val="left" w:pos="1843"/>
            </w:tabs>
            <w:rPr>
              <w:rFonts w:eastAsiaTheme="majorEastAsia" w:cstheme="minorHAnsi"/>
              <w:noProof/>
              <w:color w:val="432918"/>
              <w:kern w:val="28"/>
              <w:sz w:val="16"/>
              <w:szCs w:val="16"/>
              <w:lang w:val="de-CH"/>
            </w:rPr>
          </w:pPr>
          <w:r w:rsidRPr="006B5764">
            <w:rPr>
              <w:rFonts w:eastAsiaTheme="majorEastAsia" w:cstheme="minorHAnsi"/>
              <w:noProof/>
              <w:color w:val="432918"/>
              <w:kern w:val="28"/>
              <w:sz w:val="16"/>
              <w:szCs w:val="16"/>
              <w:lang w:val="de-CH"/>
            </w:rPr>
            <w:t>Storchengasse 6 | CH-2540 Grenchen</w:t>
          </w:r>
        </w:p>
        <w:p w14:paraId="337AB2DC" w14:textId="77777777" w:rsidR="006B5764" w:rsidRPr="004A197C" w:rsidRDefault="006B5764" w:rsidP="006B5764">
          <w:pPr>
            <w:tabs>
              <w:tab w:val="left" w:pos="1843"/>
            </w:tabs>
            <w:rPr>
              <w:color w:val="432918"/>
              <w:sz w:val="15"/>
              <w:szCs w:val="15"/>
            </w:rPr>
          </w:pPr>
          <w:r w:rsidRPr="00E73B4A">
            <w:rPr>
              <w:rFonts w:eastAsiaTheme="majorEastAsia" w:cstheme="minorHAnsi"/>
              <w:noProof/>
              <w:color w:val="432918"/>
              <w:kern w:val="28"/>
              <w:sz w:val="16"/>
              <w:szCs w:val="16"/>
            </w:rPr>
            <w:t xml:space="preserve">Monbijoustrasse 10 | CH-3011 Bern </w:t>
          </w:r>
        </w:p>
        <w:p w14:paraId="052C6B81" w14:textId="77777777" w:rsidR="006B5764" w:rsidRPr="00313507" w:rsidRDefault="006B5764" w:rsidP="006B5764">
          <w:pPr>
            <w:jc w:val="right"/>
          </w:pPr>
        </w:p>
      </w:tc>
    </w:tr>
  </w:tbl>
  <w:p w14:paraId="1B56F2F6" w14:textId="77777777" w:rsidR="00DA3616" w:rsidRPr="00693140" w:rsidRDefault="00DA3616">
    <w:pPr>
      <w:pStyle w:val="Kopfzeile"/>
      <w:rPr>
        <w:lang w:val="de-CH"/>
      </w:rPr>
    </w:pPr>
  </w:p>
  <w:p w14:paraId="71B3827C" w14:textId="77777777" w:rsidR="00DA3616" w:rsidRPr="00693140" w:rsidRDefault="00DA3616">
    <w:pPr>
      <w:pStyle w:val="Kopfzeil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D3D5" w14:textId="77777777" w:rsidR="00F349CD" w:rsidRDefault="00F349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85934"/>
    <w:multiLevelType w:val="hybridMultilevel"/>
    <w:tmpl w:val="CBF86A5E"/>
    <w:lvl w:ilvl="0" w:tplc="D2D01D3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CA1A25"/>
    <w:multiLevelType w:val="hybridMultilevel"/>
    <w:tmpl w:val="7BE2EFC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B72"/>
    <w:rsid w:val="00005410"/>
    <w:rsid w:val="00061219"/>
    <w:rsid w:val="00067FB0"/>
    <w:rsid w:val="00082DFD"/>
    <w:rsid w:val="00092BD2"/>
    <w:rsid w:val="000E497A"/>
    <w:rsid w:val="000F5487"/>
    <w:rsid w:val="001126A4"/>
    <w:rsid w:val="00115E95"/>
    <w:rsid w:val="00155CF5"/>
    <w:rsid w:val="001752E5"/>
    <w:rsid w:val="001A4F50"/>
    <w:rsid w:val="0022695F"/>
    <w:rsid w:val="00247709"/>
    <w:rsid w:val="00276768"/>
    <w:rsid w:val="00290A5E"/>
    <w:rsid w:val="002C6167"/>
    <w:rsid w:val="002F5D6C"/>
    <w:rsid w:val="003046AB"/>
    <w:rsid w:val="00362529"/>
    <w:rsid w:val="00370707"/>
    <w:rsid w:val="00392ED2"/>
    <w:rsid w:val="0042338C"/>
    <w:rsid w:val="005031B2"/>
    <w:rsid w:val="0052348A"/>
    <w:rsid w:val="00532B0E"/>
    <w:rsid w:val="005930CE"/>
    <w:rsid w:val="00595A15"/>
    <w:rsid w:val="00597EE9"/>
    <w:rsid w:val="005B7A11"/>
    <w:rsid w:val="005C7EDC"/>
    <w:rsid w:val="005D7965"/>
    <w:rsid w:val="00607269"/>
    <w:rsid w:val="00616B6F"/>
    <w:rsid w:val="00643F65"/>
    <w:rsid w:val="00646561"/>
    <w:rsid w:val="00656181"/>
    <w:rsid w:val="00682462"/>
    <w:rsid w:val="00693140"/>
    <w:rsid w:val="006B5764"/>
    <w:rsid w:val="006D2E4B"/>
    <w:rsid w:val="006D4CAB"/>
    <w:rsid w:val="0070161F"/>
    <w:rsid w:val="00726537"/>
    <w:rsid w:val="0077406D"/>
    <w:rsid w:val="007B224B"/>
    <w:rsid w:val="007E027C"/>
    <w:rsid w:val="007F2A1B"/>
    <w:rsid w:val="008404AC"/>
    <w:rsid w:val="00841005"/>
    <w:rsid w:val="0085398E"/>
    <w:rsid w:val="00854127"/>
    <w:rsid w:val="0085415B"/>
    <w:rsid w:val="00874B4B"/>
    <w:rsid w:val="008A64B5"/>
    <w:rsid w:val="008B22FD"/>
    <w:rsid w:val="008E6664"/>
    <w:rsid w:val="00902F7A"/>
    <w:rsid w:val="00903B92"/>
    <w:rsid w:val="009267A5"/>
    <w:rsid w:val="00954EB1"/>
    <w:rsid w:val="00956531"/>
    <w:rsid w:val="009A37B3"/>
    <w:rsid w:val="009A543D"/>
    <w:rsid w:val="009B266C"/>
    <w:rsid w:val="00A4343B"/>
    <w:rsid w:val="00AD2FC9"/>
    <w:rsid w:val="00AE7A56"/>
    <w:rsid w:val="00B076D6"/>
    <w:rsid w:val="00B47C29"/>
    <w:rsid w:val="00B978F0"/>
    <w:rsid w:val="00BB4842"/>
    <w:rsid w:val="00C00DC7"/>
    <w:rsid w:val="00C56FED"/>
    <w:rsid w:val="00C665B1"/>
    <w:rsid w:val="00C70F3E"/>
    <w:rsid w:val="00C718CD"/>
    <w:rsid w:val="00C83091"/>
    <w:rsid w:val="00D03183"/>
    <w:rsid w:val="00D406C5"/>
    <w:rsid w:val="00D66361"/>
    <w:rsid w:val="00DA3616"/>
    <w:rsid w:val="00DC0DD4"/>
    <w:rsid w:val="00DC4BA4"/>
    <w:rsid w:val="00DE206E"/>
    <w:rsid w:val="00DE47B4"/>
    <w:rsid w:val="00DE5A68"/>
    <w:rsid w:val="00E1197B"/>
    <w:rsid w:val="00E16C60"/>
    <w:rsid w:val="00E31520"/>
    <w:rsid w:val="00E45421"/>
    <w:rsid w:val="00E637E5"/>
    <w:rsid w:val="00E7530A"/>
    <w:rsid w:val="00E87B72"/>
    <w:rsid w:val="00EA449C"/>
    <w:rsid w:val="00EC31FE"/>
    <w:rsid w:val="00ED763B"/>
    <w:rsid w:val="00F01F2D"/>
    <w:rsid w:val="00F16981"/>
    <w:rsid w:val="00F26F04"/>
    <w:rsid w:val="00F349CD"/>
    <w:rsid w:val="00F94D0D"/>
    <w:rsid w:val="00FD66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5DDECB7"/>
  <w14:defaultImageDpi w14:val="300"/>
  <w15:docId w15:val="{88974E89-31B4-497A-85AB-3D725F20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0707"/>
    <w:rPr>
      <w:rFonts w:ascii="Arial" w:eastAsia="Times New Roman" w:hAnsi="Arial" w:cs="Times New Roman"/>
      <w:sz w:val="22"/>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643F65"/>
  </w:style>
  <w:style w:type="character" w:customStyle="1" w:styleId="FunotentextZchn">
    <w:name w:val="Fußnotentext Zchn"/>
    <w:basedOn w:val="Absatz-Standardschriftart"/>
    <w:link w:val="Funotentext"/>
    <w:uiPriority w:val="99"/>
    <w:rsid w:val="00643F65"/>
  </w:style>
  <w:style w:type="character" w:styleId="Funotenzeichen">
    <w:name w:val="footnote reference"/>
    <w:basedOn w:val="Absatz-Standardschriftart"/>
    <w:uiPriority w:val="99"/>
    <w:unhideWhenUsed/>
    <w:rsid w:val="00643F65"/>
    <w:rPr>
      <w:vertAlign w:val="superscript"/>
    </w:rPr>
  </w:style>
  <w:style w:type="paragraph" w:styleId="Kopfzeile">
    <w:name w:val="header"/>
    <w:basedOn w:val="Standard"/>
    <w:link w:val="KopfzeileZchn"/>
    <w:uiPriority w:val="99"/>
    <w:unhideWhenUsed/>
    <w:qFormat/>
    <w:rsid w:val="00005410"/>
    <w:pPr>
      <w:tabs>
        <w:tab w:val="center" w:pos="4536"/>
        <w:tab w:val="right" w:pos="9072"/>
      </w:tabs>
    </w:pPr>
  </w:style>
  <w:style w:type="character" w:customStyle="1" w:styleId="KopfzeileZchn">
    <w:name w:val="Kopfzeile Zchn"/>
    <w:basedOn w:val="Absatz-Standardschriftart"/>
    <w:link w:val="Kopfzeile"/>
    <w:uiPriority w:val="99"/>
    <w:rsid w:val="00005410"/>
  </w:style>
  <w:style w:type="paragraph" w:styleId="Fuzeile">
    <w:name w:val="footer"/>
    <w:basedOn w:val="Standard"/>
    <w:link w:val="FuzeileZchn"/>
    <w:unhideWhenUsed/>
    <w:rsid w:val="00005410"/>
    <w:pPr>
      <w:tabs>
        <w:tab w:val="center" w:pos="4536"/>
        <w:tab w:val="right" w:pos="9072"/>
      </w:tabs>
    </w:pPr>
  </w:style>
  <w:style w:type="character" w:customStyle="1" w:styleId="FuzeileZchn">
    <w:name w:val="Fußzeile Zchn"/>
    <w:basedOn w:val="Absatz-Standardschriftart"/>
    <w:link w:val="Fuzeile"/>
    <w:uiPriority w:val="99"/>
    <w:rsid w:val="00005410"/>
  </w:style>
  <w:style w:type="table" w:styleId="Tabellenraster">
    <w:name w:val="Table Grid"/>
    <w:basedOn w:val="NormaleTabelle"/>
    <w:uiPriority w:val="59"/>
    <w:rsid w:val="0000541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5C7EDC"/>
  </w:style>
  <w:style w:type="paragraph" w:styleId="Listenabsatz">
    <w:name w:val="List Paragraph"/>
    <w:basedOn w:val="Standard"/>
    <w:uiPriority w:val="34"/>
    <w:qFormat/>
    <w:rsid w:val="00370707"/>
    <w:pPr>
      <w:ind w:left="720"/>
      <w:contextualSpacing/>
    </w:pPr>
  </w:style>
  <w:style w:type="paragraph" w:styleId="Sprechblasentext">
    <w:name w:val="Balloon Text"/>
    <w:basedOn w:val="Standard"/>
    <w:link w:val="SprechblasentextZchn"/>
    <w:uiPriority w:val="99"/>
    <w:semiHidden/>
    <w:unhideWhenUsed/>
    <w:rsid w:val="00D0318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3183"/>
    <w:rPr>
      <w:rFonts w:ascii="Tahoma" w:eastAsia="Times New Roman" w:hAnsi="Tahoma" w:cs="Tahoma"/>
      <w:sz w:val="16"/>
      <w:szCs w:val="16"/>
      <w:lang w:eastAsia="de-CH"/>
    </w:rPr>
  </w:style>
  <w:style w:type="character" w:styleId="Platzhaltertext">
    <w:name w:val="Placeholder Text"/>
    <w:basedOn w:val="Absatz-Standardschriftart"/>
    <w:uiPriority w:val="99"/>
    <w:semiHidden/>
    <w:rsid w:val="00D03183"/>
    <w:rPr>
      <w:color w:val="808080"/>
    </w:rPr>
  </w:style>
  <w:style w:type="character" w:styleId="Kommentarzeichen">
    <w:name w:val="annotation reference"/>
    <w:basedOn w:val="Absatz-Standardschriftart"/>
    <w:uiPriority w:val="99"/>
    <w:semiHidden/>
    <w:unhideWhenUsed/>
    <w:rsid w:val="00D03183"/>
    <w:rPr>
      <w:sz w:val="16"/>
      <w:szCs w:val="16"/>
    </w:rPr>
  </w:style>
  <w:style w:type="paragraph" w:styleId="Kommentartext">
    <w:name w:val="annotation text"/>
    <w:basedOn w:val="Standard"/>
    <w:link w:val="KommentartextZchn"/>
    <w:uiPriority w:val="99"/>
    <w:semiHidden/>
    <w:unhideWhenUsed/>
    <w:rsid w:val="00D03183"/>
    <w:rPr>
      <w:sz w:val="20"/>
    </w:rPr>
  </w:style>
  <w:style w:type="character" w:customStyle="1" w:styleId="KommentartextZchn">
    <w:name w:val="Kommentartext Zchn"/>
    <w:basedOn w:val="Absatz-Standardschriftart"/>
    <w:link w:val="Kommentartext"/>
    <w:uiPriority w:val="99"/>
    <w:semiHidden/>
    <w:rsid w:val="00D03183"/>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D03183"/>
    <w:rPr>
      <w:b/>
      <w:bCs/>
    </w:rPr>
  </w:style>
  <w:style w:type="character" w:customStyle="1" w:styleId="KommentarthemaZchn">
    <w:name w:val="Kommentarthema Zchn"/>
    <w:basedOn w:val="KommentartextZchn"/>
    <w:link w:val="Kommentarthema"/>
    <w:uiPriority w:val="99"/>
    <w:semiHidden/>
    <w:rsid w:val="00D03183"/>
    <w:rPr>
      <w:rFonts w:ascii="Arial" w:eastAsia="Times New Roman" w:hAnsi="Arial" w:cs="Times New Roman"/>
      <w:b/>
      <w:bCs/>
      <w:sz w:val="20"/>
      <w:szCs w:val="20"/>
      <w:lang w:eastAsia="de-CH"/>
    </w:rPr>
  </w:style>
  <w:style w:type="paragraph" w:customStyle="1" w:styleId="Default">
    <w:name w:val="Default"/>
    <w:rsid w:val="0064656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4770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Inselspital</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Bonadies</dc:creator>
  <cp:lastModifiedBy>Prof. Dr. med. Nicolas Bonadies</cp:lastModifiedBy>
  <cp:revision>5</cp:revision>
  <cp:lastPrinted>2017-05-30T07:37:00Z</cp:lastPrinted>
  <dcterms:created xsi:type="dcterms:W3CDTF">2021-08-20T12:15:00Z</dcterms:created>
  <dcterms:modified xsi:type="dcterms:W3CDTF">2025-09-04T07:51:00Z</dcterms:modified>
</cp:coreProperties>
</file>